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8640"/>
      </w:tblGrid>
      <w:tr>
        <w:tc>
          <w:tcPr>
            <w:tcW w:type="dxa" w:w="9638"/>
            <w:shd w:val="clear" w:color="auto" w:fill="0C2854"/>
            <w:vAlign w:val="center"/>
          </w:tcPr>
          <w:p>
            <w:pPr>
              <w:spacing w:before="480" w:after="480"/>
              <w:jc w:val="center"/>
            </w:pPr>
            <w:r>
              <w:drawing>
                <wp:inline xmlns:a="http://schemas.openxmlformats.org/drawingml/2006/main" xmlns:pic="http://schemas.openxmlformats.org/drawingml/2006/picture">
                  <wp:extent cx="2520000" cy="697358"/>
                  <wp:docPr id="1" name="Picture 1"/>
                  <wp:cNvGraphicFramePr>
                    <a:graphicFrameLocks noChangeAspect="1"/>
                  </wp:cNvGraphicFramePr>
                  <a:graphic>
                    <a:graphicData uri="http://schemas.openxmlformats.org/drawingml/2006/picture">
                      <pic:pic>
                        <pic:nvPicPr>
                          <pic:cNvPr id="0" name="tobb-etu-logo-white.png"/>
                          <pic:cNvPicPr/>
                        </pic:nvPicPr>
                        <pic:blipFill>
                          <a:blip r:embed="rId9"/>
                          <a:stretch>
                            <a:fillRect/>
                          </a:stretch>
                        </pic:blipFill>
                        <pic:spPr>
                          <a:xfrm>
                            <a:off x="0" y="0"/>
                            <a:ext cx="2520000" cy="697358"/>
                          </a:xfrm>
                          <a:prstGeom prst="rect"/>
                        </pic:spPr>
                      </pic:pic>
                    </a:graphicData>
                  </a:graphic>
                </wp:inline>
              </w:drawing>
            </w:r>
          </w:p>
          <w:p>
            <w:pPr>
              <w:jc w:val="center"/>
            </w:pPr>
            <w:r>
              <w:rPr>
                <w:rFonts w:ascii="Calibri" w:hAnsi="Calibri"/>
                <w:b/>
                <w:i w:val="0"/>
                <w:color w:val="FFFFFF"/>
                <w:sz w:val="22"/>
              </w:rPr>
              <w:t>TOBB EKONOMİ VE TEKNOLOJİ ÜNİVERSİTESİ</w:t>
            </w:r>
          </w:p>
          <w:p>
            <w:pPr>
              <w:jc w:val="center"/>
            </w:pPr>
            <w:r>
              <w:rPr>
                <w:rFonts w:ascii="Calibri" w:hAnsi="Calibri"/>
                <w:b w:val="0"/>
                <w:i w:val="0"/>
                <w:color w:val="CFD6E3"/>
                <w:sz w:val="20"/>
              </w:rPr>
              <w:t>Bilgisayar / Yapay Zekâ Mühendisliği</w:t>
            </w:r>
          </w:p>
          <w:p>
            <w:pPr>
              <w:jc w:val="center"/>
            </w:pPr>
            <w:r>
              <w:rPr>
                <w:rFonts w:ascii="Calibri" w:hAnsi="Calibri"/>
                <w:b/>
                <w:i w:val="0"/>
                <w:color w:val="C8A96A"/>
                <w:sz w:val="20"/>
              </w:rPr>
              <w:t>BİL 495 — YAP 495</w:t>
            </w:r>
          </w:p>
          <w:p>
            <w:pPr>
              <w:spacing w:after="160"/>
              <w:jc w:val="center"/>
            </w:pPr>
            <w:r>
              <w:rPr>
                <w:rFonts w:ascii="Calibri" w:hAnsi="Calibri"/>
                <w:b w:val="0"/>
                <w:i w:val="0"/>
                <w:sz w:val="8"/>
              </w:rPr>
            </w:r>
          </w:p>
        </w:tc>
      </w:tr>
    </w:tbl>
    <w:tbl>
      <w:tblPr>
        <w:tblW w:type="auto" w:w="0"/>
        <w:tblLook w:firstColumn="1" w:firstRow="1" w:lastColumn="0" w:lastRow="0" w:noHBand="0" w:noVBand="1" w:val="04A0"/>
      </w:tblPr>
      <w:tblGrid>
        <w:gridCol w:w="8640"/>
      </w:tblGrid>
      <w:tr>
        <w:tc>
          <w:tcPr>
            <w:tcW w:type="dxa" w:w="8640"/>
            <w:shd w:val="clear" w:color="auto" w:fill="C8A96A"/>
          </w:tcPr>
          <w:p>
            <w:pPr>
              <w:spacing w:before="0" w:after="0"/>
            </w:pPr>
            <w:r>
              <w:rPr>
                <w:sz w:val="4"/>
              </w:rPr>
            </w:r>
          </w:p>
        </w:tc>
      </w:tr>
    </w:tbl>
    <w:p/>
    <w:p/>
    <w:p/>
    <w:p/>
    <w:p/>
    <w:p/>
    <w:p>
      <w:pPr>
        <w:jc w:val="center"/>
      </w:pPr>
      <w:r>
        <w:rPr>
          <w:rFonts w:ascii="Calibri" w:hAnsi="Calibri"/>
          <w:b/>
          <w:i w:val="0"/>
          <w:color w:val="0C2854"/>
          <w:sz w:val="48"/>
        </w:rPr>
        <w:t>High-Level Design Report</w:t>
      </w:r>
    </w:p>
    <w:p>
      <w:pPr>
        <w:jc w:val="center"/>
      </w:pPr>
      <w:r>
        <w:rPr>
          <w:rFonts w:ascii="Calibri" w:hAnsi="Calibri"/>
          <w:b w:val="0"/>
          <w:i/>
          <w:color w:val="6B7380"/>
          <w:sz w:val="28"/>
        </w:rPr>
        <w:t>Yüksek Seviye Tasarım Raporu</w:t>
      </w:r>
    </w:p>
    <w:p>
      <w:pPr>
        <w:spacing w:before="120"/>
        <w:jc w:val="center"/>
      </w:pPr>
      <w:r>
        <w:rPr>
          <w:rFonts w:ascii="Calibri" w:hAnsi="Calibri"/>
          <w:b w:val="0"/>
          <w:i w:val="0"/>
          <w:color w:val="1F2D3D"/>
          <w:sz w:val="22"/>
        </w:rPr>
        <w:t>Analiz modelinden sistem tasarım modeline geçiş — mimari, dağıtım, güvenlik</w:t>
      </w:r>
    </w:p>
    <w:p/>
    <w:p/>
    <w:p/>
    <w:p/>
    <w:p/>
    <w:p/>
    <w:tbl>
      <w:tblPr>
        <w:tblW w:type="auto" w:w="0"/>
        <w:tblLayout w:type="fixed"/>
        <w:tblLook w:firstColumn="1" w:firstRow="1" w:lastColumn="0" w:lastRow="0" w:noHBand="0" w:noVBand="1" w:val="04A0"/>
      </w:tblPr>
      <w:tblGrid>
        <w:gridCol w:w="4320"/>
        <w:gridCol w:w="4320"/>
      </w:tblGrid>
      <w:tr>
        <w:tc>
          <w:tcPr>
            <w:tcW w:type="dxa" w:w="2835"/>
            <w:shd w:val="clear" w:color="auto" w:fill="F2F4F8"/>
            <w:tcBorders>
              <w:top w:val="single" w:sz="4" w:color="CFD6E3"/>
              <w:left w:val="single" w:sz="4" w:color="CFD6E3"/>
              <w:bottom w:val="single" w:sz="4" w:color="CFD6E3"/>
              <w:right w:val="single" w:sz="4" w:color="CFD6E3"/>
            </w:tcBorders>
          </w:tcPr>
          <w:p>
            <w:r>
              <w:rPr>
                <w:rFonts w:ascii="Calibri" w:hAnsi="Calibri"/>
                <w:b/>
                <w:i w:val="0"/>
                <w:color w:val="0C2854"/>
                <w:sz w:val="22"/>
              </w:rPr>
              <w:t>Proje Adı</w:t>
            </w:r>
          </w:p>
        </w:tc>
        <w:tc>
          <w:tcPr>
            <w:tcW w:type="dxa" w:w="6803"/>
            <w:tcBorders>
              <w:top w:val="single" w:sz="4" w:color="CFD6E3"/>
              <w:left w:val="single" w:sz="4" w:color="CFD6E3"/>
              <w:bottom w:val="single" w:sz="4" w:color="CFD6E3"/>
              <w:right w:val="single" w:sz="4" w:color="CFD6E3"/>
            </w:tcBorders>
            <w:vAlign w:val="center"/>
          </w:tcPr>
          <w:p>
            <w:pPr>
              <w:spacing w:after="0" w:before="0" w:line="221" w:lineRule="auto"/>
              <w:jc w:val="left"/>
            </w:pPr>
            <w:r/>
            <w:r>
              <w:rPr>
                <w:rFonts w:ascii="Calibri" w:hAnsi="Calibri"/>
                <w:b w:val="0"/>
                <w:i w:val="0"/>
                <w:color w:val="111827"/>
                <w:sz w:val="16"/>
              </w:rPr>
              <w:t>Öz-Gözetimli Uydu Görüntü Segmentasyonu ve Zaman Serisi Modelleri ile Uzun Vadeli Kentsel Yayılma Tahmini</w:t>
            </w:r>
          </w:p>
        </w:tc>
      </w:tr>
      <w:tr>
        <w:tc>
          <w:tcPr>
            <w:tcW w:type="dxa" w:w="2835"/>
            <w:shd w:val="clear" w:color="auto" w:fill="F2F4F8"/>
            <w:tcBorders>
              <w:top w:val="single" w:sz="4" w:color="CFD6E3"/>
              <w:left w:val="single" w:sz="4" w:color="CFD6E3"/>
              <w:bottom w:val="single" w:sz="4" w:color="CFD6E3"/>
              <w:right w:val="single" w:sz="4" w:color="CFD6E3"/>
            </w:tcBorders>
          </w:tcPr>
          <w:p>
            <w:r>
              <w:rPr>
                <w:rFonts w:ascii="Calibri" w:hAnsi="Calibri"/>
                <w:b/>
                <w:i w:val="0"/>
                <w:color w:val="0C2854"/>
                <w:sz w:val="22"/>
              </w:rPr>
              <w:t>Takım Üyeleri</w:t>
            </w:r>
          </w:p>
        </w:tc>
        <w:tc>
          <w:tcPr>
            <w:tcW w:type="dxa" w:w="6803"/>
            <w:tcBorders>
              <w:top w:val="single" w:sz="4" w:color="CFD6E3"/>
              <w:left w:val="single" w:sz="4" w:color="CFD6E3"/>
              <w:bottom w:val="single" w:sz="4" w:color="CFD6E3"/>
              <w:right w:val="single" w:sz="4" w:color="CFD6E3"/>
            </w:tcBorders>
            <w:vAlign w:val="center"/>
          </w:tcPr>
          <w:p>
            <w:pPr>
              <w:spacing w:after="0" w:before="0" w:line="197" w:lineRule="auto"/>
              <w:jc w:val="left"/>
            </w:pPr>
            <w:r/>
            <w:r>
              <w:rPr>
                <w:rFonts w:ascii="Calibri" w:hAnsi="Calibri"/>
                <w:b w:val="0"/>
                <w:i w:val="0"/>
                <w:color w:val="111827"/>
                <w:sz w:val="15"/>
              </w:rPr>
              <w:t>Mehmet Ali USLU (221101043)</w:t>
              <w:br/>
              <w:t>Kaan ARSLAN (231101036)</w:t>
              <w:br/>
              <w:t>Ömer Talha AKBULUT (221401005)</w:t>
              <w:br/>
              <w:t>Mete OKTAR (231101034)</w:t>
              <w:br/>
              <w:t>Efe Arda UZUNOVA (231101032)</w:t>
            </w:r>
          </w:p>
        </w:tc>
      </w:tr>
      <w:tr>
        <w:tc>
          <w:tcPr>
            <w:tcW w:type="dxa" w:w="2835"/>
            <w:shd w:val="clear" w:color="auto" w:fill="F2F4F8"/>
            <w:tcBorders>
              <w:top w:val="single" w:sz="4" w:color="CFD6E3"/>
              <w:left w:val="single" w:sz="4" w:color="CFD6E3"/>
              <w:bottom w:val="single" w:sz="4" w:color="CFD6E3"/>
              <w:right w:val="single" w:sz="4" w:color="CFD6E3"/>
            </w:tcBorders>
          </w:tcPr>
          <w:p>
            <w:r>
              <w:rPr>
                <w:rFonts w:ascii="Calibri" w:hAnsi="Calibri"/>
                <w:b/>
                <w:i w:val="0"/>
                <w:color w:val="0C2854"/>
                <w:sz w:val="22"/>
              </w:rPr>
              <w:t>Danışman</w:t>
            </w:r>
          </w:p>
        </w:tc>
        <w:tc>
          <w:tcPr>
            <w:tcW w:type="dxa" w:w="6803"/>
            <w:tcBorders>
              <w:top w:val="single" w:sz="4" w:color="CFD6E3"/>
              <w:left w:val="single" w:sz="4" w:color="CFD6E3"/>
              <w:bottom w:val="single" w:sz="4" w:color="CFD6E3"/>
              <w:right w:val="single" w:sz="4" w:color="CFD6E3"/>
            </w:tcBorders>
            <w:vAlign w:val="center"/>
          </w:tcPr>
          <w:p>
            <w:pPr>
              <w:spacing w:after="0" w:before="0" w:line="221" w:lineRule="auto"/>
              <w:jc w:val="left"/>
            </w:pPr>
            <w:r/>
            <w:r>
              <w:rPr>
                <w:rFonts w:ascii="Calibri" w:hAnsi="Calibri"/>
                <w:b w:val="0"/>
                <w:i w:val="0"/>
                <w:color w:val="111827"/>
                <w:sz w:val="18"/>
              </w:rPr>
              <w:t>Toygar Akgün</w:t>
            </w:r>
          </w:p>
        </w:tc>
      </w:tr>
      <w:tr>
        <w:tc>
          <w:tcPr>
            <w:tcW w:type="dxa" w:w="2835"/>
            <w:shd w:val="clear" w:color="auto" w:fill="F2F4F8"/>
            <w:tcBorders>
              <w:top w:val="single" w:sz="4" w:color="CFD6E3"/>
              <w:left w:val="single" w:sz="4" w:color="CFD6E3"/>
              <w:bottom w:val="single" w:sz="4" w:color="CFD6E3"/>
              <w:right w:val="single" w:sz="4" w:color="CFD6E3"/>
            </w:tcBorders>
          </w:tcPr>
          <w:p>
            <w:r>
              <w:rPr>
                <w:rFonts w:ascii="Calibri" w:hAnsi="Calibri"/>
                <w:b/>
                <w:i w:val="0"/>
                <w:color w:val="0C2854"/>
                <w:sz w:val="22"/>
              </w:rPr>
              <w:t>Akademik Dönem</w:t>
            </w:r>
          </w:p>
        </w:tc>
        <w:tc>
          <w:tcPr>
            <w:tcW w:type="dxa" w:w="6803"/>
            <w:tcBorders>
              <w:top w:val="single" w:sz="4" w:color="CFD6E3"/>
              <w:left w:val="single" w:sz="4" w:color="CFD6E3"/>
              <w:bottom w:val="single" w:sz="4" w:color="CFD6E3"/>
              <w:right w:val="single" w:sz="4" w:color="CFD6E3"/>
            </w:tcBorders>
            <w:vAlign w:val="center"/>
          </w:tcPr>
          <w:p>
            <w:pPr>
              <w:spacing w:after="0" w:before="0" w:line="221" w:lineRule="auto"/>
              <w:jc w:val="left"/>
            </w:pPr>
            <w:r/>
            <w:r>
              <w:rPr>
                <w:rFonts w:ascii="Calibri" w:hAnsi="Calibri"/>
                <w:b w:val="0"/>
                <w:i w:val="0"/>
                <w:color w:val="111827"/>
                <w:sz w:val="18"/>
              </w:rPr>
              <w:t>2026 Yaz Dönemi</w:t>
            </w:r>
          </w:p>
        </w:tc>
      </w:tr>
      <w:tr>
        <w:tc>
          <w:tcPr>
            <w:tcW w:type="dxa" w:w="2835"/>
            <w:shd w:val="clear" w:color="auto" w:fill="F2F4F8"/>
            <w:tcBorders>
              <w:top w:val="single" w:sz="4" w:color="CFD6E3"/>
              <w:left w:val="single" w:sz="4" w:color="CFD6E3"/>
              <w:bottom w:val="single" w:sz="4" w:color="CFD6E3"/>
              <w:right w:val="single" w:sz="4" w:color="CFD6E3"/>
            </w:tcBorders>
          </w:tcPr>
          <w:p>
            <w:r>
              <w:rPr>
                <w:rFonts w:ascii="Calibri" w:hAnsi="Calibri"/>
                <w:b/>
                <w:i w:val="0"/>
                <w:color w:val="0C2854"/>
                <w:sz w:val="22"/>
              </w:rPr>
              <w:t>Teslim Tarihi</w:t>
            </w:r>
          </w:p>
        </w:tc>
        <w:tc>
          <w:tcPr>
            <w:tcW w:type="dxa" w:w="6803"/>
            <w:tcBorders>
              <w:top w:val="single" w:sz="4" w:color="CFD6E3"/>
              <w:left w:val="single" w:sz="4" w:color="CFD6E3"/>
              <w:bottom w:val="single" w:sz="4" w:color="CFD6E3"/>
              <w:right w:val="single" w:sz="4" w:color="CFD6E3"/>
            </w:tcBorders>
            <w:vAlign w:val="center"/>
          </w:tcPr>
          <w:p>
            <w:pPr>
              <w:spacing w:after="0" w:before="0" w:line="221" w:lineRule="auto"/>
              <w:jc w:val="left"/>
            </w:pPr>
            <w:r/>
            <w:r>
              <w:rPr>
                <w:rFonts w:ascii="Calibri" w:hAnsi="Calibri"/>
                <w:b w:val="0"/>
                <w:i w:val="0"/>
                <w:color w:val="111827"/>
                <w:sz w:val="18"/>
              </w:rPr>
              <w:t>6 Ağustos 2026</w:t>
            </w:r>
          </w:p>
        </w:tc>
      </w:tr>
    </w:tbl>
    <w:p>
      <w:pPr>
        <w:pageBreakBefore/>
      </w:pPr>
      <w:r>
        <w:rPr>
          <w:rFonts w:ascii="Calibri" w:hAnsi="Calibri"/>
          <w:b/>
          <w:i w:val="0"/>
          <w:color w:val="0C2854"/>
          <w:sz w:val="36"/>
        </w:rPr>
        <w:t>Document Status / Belge Durumu</w:t>
      </w:r>
    </w:p>
    <w:tbl>
      <w:tblPr>
        <w:tblStyle w:val="TableGrid"/>
        <w:jc w:val="left"/>
        <w:tblLook w:firstColumn="1" w:firstRow="1" w:lastColumn="0" w:lastRow="0" w:noHBand="0" w:noVBand="1" w:val="04A0"/>
        <w:tblW w:w="9475" w:type="dxa"/>
        <w:tblInd w:w="120" w:type="dxa"/>
        <w:tblLayout w:type="fixed"/>
      </w:tblPr>
      <w:tblGrid>
        <w:gridCol w:w="9475"/>
      </w:tblGrid>
      <w:tr>
        <w:tc>
          <w:tcPr>
            <w:tcW w:type="dxa" w:w="9475"/>
            <w:tcMar>
              <w:top w:w="72" w:type="dxa"/>
              <w:start w:w="110" w:type="dxa"/>
              <w:bottom w:w="72" w:type="dxa"/>
              <w:end w:w="110" w:type="dxa"/>
            </w:tcMar>
            <w:vAlign w:val="center"/>
            <w:shd w:fill="F4F7FB"/>
          </w:tcPr>
          <w:p>
            <w:pPr>
              <w:spacing w:after="0"/>
            </w:pPr>
            <w:r>
              <w:rPr>
                <w:rFonts w:ascii="Calibri" w:hAnsi="Calibri"/>
                <w:b/>
                <w:i w:val="0"/>
                <w:color w:val="0C2854"/>
                <w:sz w:val="20"/>
              </w:rPr>
              <w:t xml:space="preserve">Mimari karar: </w:t>
            </w:r>
            <w:r>
              <w:rPr>
                <w:rFonts w:ascii="Calibri" w:hAnsi="Calibri"/>
                <w:b w:val="0"/>
                <w:i w:val="0"/>
                <w:color w:val="111827"/>
                <w:sz w:val="20"/>
              </w:rPr>
              <w:t>Bu rapor hedef sistemi tanımlar. Mevcut prototip yalnızca örnek görüntüleme ve ilkbahar Attention U-Net eğitim hattını içerir; hedef mimari, dört mevsim, Ankara zaman serisi, tahmin, güvenlik ve izlenebilirliği kapsar.</w:t>
            </w:r>
          </w:p>
        </w:tc>
      </w:tr>
    </w:tbl>
    <w:p>
      <w:pPr>
        <w:spacing w:after="20"/>
      </w:pPr>
    </w:p>
    <w:tbl>
      <w:tblPr>
        <w:tblStyle w:val="TableGrid"/>
        <w:jc w:val="left"/>
        <w:tblLook w:firstColumn="1" w:firstRow="1" w:lastColumn="0" w:lastRow="0" w:noHBand="0" w:noVBand="1" w:val="04A0"/>
        <w:tblW w:w="9475" w:type="dxa"/>
        <w:tblInd w:w="120" w:type="dxa"/>
        <w:tblLayout w:type="fixed"/>
      </w:tblPr>
      <w:tblGrid>
        <w:gridCol w:w="2376"/>
        <w:gridCol w:w="7099"/>
      </w:tblGrid>
      <w:tr>
        <w:trPr>
          <w:tblHeader w:val="true"/>
        </w:trPr>
        <w:tc>
          <w:tcPr>
            <w:tcW w:type="dxa" w:w="2376"/>
            <w:tcMar>
              <w:top w:w="72" w:type="dxa"/>
              <w:start w:w="110" w:type="dxa"/>
              <w:bottom w:w="72" w:type="dxa"/>
              <w:end w:w="110" w:type="dxa"/>
            </w:tcMar>
            <w:vAlign w:val="center"/>
            <w:shd w:fill="0C2854"/>
          </w:tcPr>
          <w:p>
            <w:pPr>
              <w:spacing w:after="0"/>
              <w:jc w:val="center"/>
            </w:pPr>
            <w:r>
              <w:rPr>
                <w:rFonts w:ascii="Calibri" w:hAnsi="Calibri"/>
                <w:b/>
                <w:i w:val="0"/>
                <w:color w:val="FFFFFF"/>
                <w:sz w:val="18"/>
              </w:rPr>
              <w:t>Alan</w:t>
            </w:r>
          </w:p>
        </w:tc>
        <w:tc>
          <w:tcPr>
            <w:tcW w:type="dxa" w:w="7099"/>
            <w:tcMar>
              <w:top w:w="72" w:type="dxa"/>
              <w:start w:w="110" w:type="dxa"/>
              <w:bottom w:w="72" w:type="dxa"/>
              <w:end w:w="110" w:type="dxa"/>
            </w:tcMar>
            <w:vAlign w:val="center"/>
            <w:shd w:fill="0C2854"/>
          </w:tcPr>
          <w:p>
            <w:pPr>
              <w:spacing w:after="0"/>
              <w:jc w:val="center"/>
            </w:pPr>
            <w:r>
              <w:rPr>
                <w:rFonts w:ascii="Calibri" w:hAnsi="Calibri"/>
                <w:b/>
                <w:i w:val="0"/>
                <w:color w:val="FFFFFF"/>
                <w:sz w:val="18"/>
              </w:rPr>
              <w:t>Değer</w:t>
            </w:r>
          </w:p>
        </w:tc>
      </w:tr>
      <w:tr>
        <w:tc>
          <w:tcPr>
            <w:tcW w:type="dxa" w:w="2376"/>
          </w:tcPr>
          <w:p>
            <w:pPr>
              <w:spacing w:after="0"/>
              <w:jc w:val="left"/>
            </w:pPr>
            <w:r>
              <w:rPr>
                <w:rFonts w:ascii="Calibri" w:hAnsi="Calibri"/>
                <w:b/>
                <w:i w:val="0"/>
                <w:color w:val="111827"/>
                <w:sz w:val="18"/>
              </w:rPr>
              <w:t>Belge</w:t>
            </w:r>
          </w:p>
        </w:tc>
        <w:tc>
          <w:tcPr>
            <w:tcW w:type="dxa" w:w="7099"/>
          </w:tcPr>
          <w:p>
            <w:pPr>
              <w:spacing w:after="0"/>
              <w:jc w:val="left"/>
            </w:pPr>
            <w:r>
              <w:rPr>
                <w:rFonts w:ascii="Calibri" w:hAnsi="Calibri"/>
                <w:b w:val="0"/>
                <w:i w:val="0"/>
                <w:color w:val="111827"/>
                <w:sz w:val="18"/>
              </w:rPr>
              <w:t>High-Level Design Report (HLD)</w:t>
            </w:r>
          </w:p>
        </w:tc>
      </w:tr>
      <w:tr>
        <w:tc>
          <w:tcPr>
            <w:tcW w:type="dxa" w:w="2376"/>
            <w:shd w:fill="F4F7FB"/>
          </w:tcPr>
          <w:p>
            <w:pPr>
              <w:spacing w:after="0"/>
              <w:jc w:val="left"/>
            </w:pPr>
            <w:r>
              <w:rPr>
                <w:rFonts w:ascii="Calibri" w:hAnsi="Calibri"/>
                <w:b/>
                <w:i w:val="0"/>
                <w:color w:val="111827"/>
                <w:sz w:val="18"/>
              </w:rPr>
              <w:t>Sürüm</w:t>
            </w:r>
          </w:p>
        </w:tc>
        <w:tc>
          <w:tcPr>
            <w:tcW w:type="dxa" w:w="7099"/>
            <w:shd w:fill="F4F7FB"/>
          </w:tcPr>
          <w:p>
            <w:pPr>
              <w:spacing w:after="0"/>
              <w:jc w:val="left"/>
            </w:pPr>
            <w:r>
              <w:rPr>
                <w:rFonts w:ascii="Calibri" w:hAnsi="Calibri"/>
                <w:b w:val="0"/>
                <w:i w:val="0"/>
                <w:color w:val="111827"/>
                <w:sz w:val="18"/>
              </w:rPr>
              <w:t>1.1 - kronolojik gereksinim uyum revizyonu</w:t>
            </w:r>
          </w:p>
        </w:tc>
      </w:tr>
      <w:tr>
        <w:tc>
          <w:tcPr>
            <w:tcW w:type="dxa" w:w="2376"/>
          </w:tcPr>
          <w:p>
            <w:pPr>
              <w:spacing w:after="0"/>
              <w:jc w:val="left"/>
            </w:pPr>
            <w:r>
              <w:rPr>
                <w:rFonts w:ascii="Calibri" w:hAnsi="Calibri"/>
                <w:b/>
                <w:i w:val="0"/>
                <w:color w:val="111827"/>
                <w:sz w:val="18"/>
              </w:rPr>
              <w:t>Kapsam</w:t>
            </w:r>
          </w:p>
        </w:tc>
        <w:tc>
          <w:tcPr>
            <w:tcW w:type="dxa" w:w="7099"/>
          </w:tcPr>
          <w:p>
            <w:pPr>
              <w:spacing w:after="0"/>
              <w:jc w:val="left"/>
            </w:pPr>
            <w:r>
              <w:rPr>
                <w:rFonts w:ascii="Calibri" w:hAnsi="Calibri"/>
                <w:b w:val="0"/>
                <w:i w:val="0"/>
                <w:color w:val="111827"/>
                <w:sz w:val="18"/>
              </w:rPr>
              <w:t>Ankara MVP; 2016-2024 Sentinel-2 L2A; 1/3/5 yıllık tahmin ufukları</w:t>
            </w:r>
          </w:p>
        </w:tc>
      </w:tr>
      <w:tr>
        <w:tc>
          <w:tcPr>
            <w:tcW w:type="dxa" w:w="2376"/>
            <w:shd w:fill="F4F7FB"/>
          </w:tcPr>
          <w:p>
            <w:pPr>
              <w:spacing w:after="0"/>
              <w:jc w:val="left"/>
            </w:pPr>
            <w:r>
              <w:rPr>
                <w:rFonts w:ascii="Calibri" w:hAnsi="Calibri"/>
                <w:b/>
                <w:i w:val="0"/>
                <w:color w:val="111827"/>
                <w:sz w:val="18"/>
              </w:rPr>
              <w:t>Kaynak gereksinimler</w:t>
            </w:r>
          </w:p>
        </w:tc>
        <w:tc>
          <w:tcPr>
            <w:tcW w:type="dxa" w:w="7099"/>
            <w:shd w:fill="F4F7FB"/>
          </w:tcPr>
          <w:p>
            <w:pPr>
              <w:spacing w:after="0"/>
              <w:jc w:val="left"/>
            </w:pPr>
            <w:r>
              <w:rPr>
                <w:rFonts w:ascii="Calibri" w:hAnsi="Calibri"/>
                <w:b w:val="0"/>
                <w:i w:val="0"/>
                <w:color w:val="111827"/>
                <w:sz w:val="18"/>
              </w:rPr>
              <w:t>Proposal → Specification → Analysis → PKE; çakışmada en son belge geçerli [1]-[4]</w:t>
            </w:r>
          </w:p>
        </w:tc>
      </w:tr>
      <w:tr>
        <w:tc>
          <w:tcPr>
            <w:tcW w:type="dxa" w:w="2376"/>
          </w:tcPr>
          <w:p>
            <w:pPr>
              <w:spacing w:after="0"/>
              <w:jc w:val="left"/>
            </w:pPr>
            <w:r>
              <w:rPr>
                <w:rFonts w:ascii="Calibri" w:hAnsi="Calibri"/>
                <w:b/>
                <w:i w:val="0"/>
                <w:color w:val="111827"/>
                <w:sz w:val="18"/>
              </w:rPr>
              <w:t>Mimari yaklaşım</w:t>
            </w:r>
          </w:p>
        </w:tc>
        <w:tc>
          <w:tcPr>
            <w:tcW w:type="dxa" w:w="7099"/>
          </w:tcPr>
          <w:p>
            <w:pPr>
              <w:spacing w:after="0"/>
              <w:jc w:val="left"/>
            </w:pPr>
            <w:r>
              <w:rPr>
                <w:rFonts w:ascii="Calibri" w:hAnsi="Calibri"/>
                <w:b w:val="0"/>
                <w:i w:val="0"/>
                <w:color w:val="111827"/>
                <w:sz w:val="18"/>
              </w:rPr>
              <w:t>Modüler monolit + asenkron CPU/GPU workers + ayrıştırılmış veri katmanı</w:t>
            </w:r>
          </w:p>
        </w:tc>
      </w:tr>
      <w:tr>
        <w:tc>
          <w:tcPr>
            <w:tcW w:type="dxa" w:w="2376"/>
            <w:shd w:fill="F4F7FB"/>
          </w:tcPr>
          <w:p>
            <w:pPr>
              <w:spacing w:after="0"/>
              <w:jc w:val="left"/>
            </w:pPr>
            <w:r>
              <w:rPr>
                <w:rFonts w:ascii="Calibri" w:hAnsi="Calibri"/>
                <w:b/>
                <w:i w:val="0"/>
                <w:color w:val="111827"/>
                <w:sz w:val="18"/>
              </w:rPr>
              <w:t>Onay durumu</w:t>
            </w:r>
          </w:p>
        </w:tc>
        <w:tc>
          <w:tcPr>
            <w:tcW w:type="dxa" w:w="7099"/>
            <w:shd w:fill="F4F7FB"/>
          </w:tcPr>
          <w:p>
            <w:pPr>
              <w:spacing w:after="0"/>
              <w:jc w:val="left"/>
            </w:pPr>
            <w:r>
              <w:rPr>
                <w:rFonts w:ascii="Calibri" w:hAnsi="Calibri"/>
                <w:b w:val="0"/>
                <w:i w:val="0"/>
                <w:color w:val="111827"/>
                <w:sz w:val="18"/>
              </w:rPr>
              <w:t>Ders teslimi için hazırlanmıştır; uygulama ayrıntıları LLD'de kesinleştirilir</w:t>
            </w:r>
          </w:p>
        </w:tc>
      </w:tr>
    </w:tbl>
    <w:p>
      <w:pPr>
        <w:spacing w:after="20"/>
      </w:pPr>
    </w:p>
    <w:p>
      <w:pPr>
        <w:spacing w:after="160"/>
        <w:jc w:val="left"/>
      </w:pPr>
      <w:r>
        <w:rPr>
          <w:rFonts w:ascii="Calibri" w:hAnsi="Calibri"/>
          <w:b/>
          <w:i w:val="0"/>
          <w:color w:val="0C2854"/>
          <w:sz w:val="36"/>
        </w:rPr>
        <w:t>Table of Contents / İçindekiler</w:t>
      </w:r>
    </w:p>
    <w:tbl>
      <w:tblPr>
        <w:tblStyle w:val="TableGrid"/>
        <w:jc w:val="left"/>
        <w:tblLook w:firstColumn="1" w:firstRow="1" w:lastColumn="0" w:lastRow="0" w:noHBand="0" w:noVBand="1" w:val="04A0"/>
        <w:tblW w:w="9475" w:type="dxa"/>
        <w:tblInd w:w="120" w:type="dxa"/>
        <w:tblLayout w:type="fixed"/>
      </w:tblPr>
      <w:tblGrid>
        <w:gridCol w:w="2520"/>
        <w:gridCol w:w="6955"/>
      </w:tblGrid>
      <w:tr>
        <w:trPr>
          <w:tblHeader w:val="true"/>
        </w:trPr>
        <w:tc>
          <w:tcPr>
            <w:tcW w:type="dxa" w:w="2520"/>
            <w:tcMar>
              <w:top w:w="72" w:type="dxa"/>
              <w:start w:w="110" w:type="dxa"/>
              <w:bottom w:w="72" w:type="dxa"/>
              <w:end w:w="110" w:type="dxa"/>
            </w:tcMar>
            <w:vAlign w:val="center"/>
            <w:shd w:fill="0C2854"/>
          </w:tcPr>
          <w:p>
            <w:pPr>
              <w:spacing w:after="0"/>
              <w:jc w:val="center"/>
            </w:pPr>
            <w:r>
              <w:rPr>
                <w:rFonts w:ascii="Calibri" w:hAnsi="Calibri"/>
                <w:b/>
                <w:i w:val="0"/>
                <w:color w:val="FFFFFF"/>
                <w:sz w:val="18"/>
              </w:rPr>
              <w:t>Bölüm</w:t>
            </w:r>
          </w:p>
        </w:tc>
        <w:tc>
          <w:tcPr>
            <w:tcW w:type="dxa" w:w="6955"/>
            <w:tcMar>
              <w:top w:w="72" w:type="dxa"/>
              <w:start w:w="110" w:type="dxa"/>
              <w:bottom w:w="72" w:type="dxa"/>
              <w:end w:w="110" w:type="dxa"/>
            </w:tcMar>
            <w:vAlign w:val="center"/>
            <w:shd w:fill="0C2854"/>
          </w:tcPr>
          <w:p>
            <w:pPr>
              <w:spacing w:after="0"/>
              <w:jc w:val="center"/>
            </w:pPr>
            <w:r>
              <w:rPr>
                <w:rFonts w:ascii="Calibri" w:hAnsi="Calibri"/>
                <w:b/>
                <w:i w:val="0"/>
                <w:color w:val="FFFFFF"/>
                <w:sz w:val="18"/>
              </w:rPr>
              <w:t>İçerik</w:t>
            </w:r>
          </w:p>
        </w:tc>
      </w:tr>
      <w:tr>
        <w:tc>
          <w:tcPr>
            <w:tcW w:type="dxa" w:w="2520"/>
          </w:tcPr>
          <w:p>
            <w:pPr>
              <w:spacing w:after="0"/>
              <w:jc w:val="left"/>
            </w:pPr>
            <w:r>
              <w:rPr>
                <w:rFonts w:ascii="Calibri" w:hAnsi="Calibri"/>
                <w:b/>
                <w:i w:val="0"/>
                <w:color w:val="111827"/>
                <w:sz w:val="18"/>
              </w:rPr>
              <w:t>1. Introduction</w:t>
            </w:r>
          </w:p>
        </w:tc>
        <w:tc>
          <w:tcPr>
            <w:tcW w:type="dxa" w:w="6955"/>
          </w:tcPr>
          <w:p>
            <w:pPr>
              <w:spacing w:after="0"/>
              <w:jc w:val="left"/>
            </w:pPr>
            <w:r>
              <w:rPr>
                <w:rFonts w:ascii="Calibri" w:hAnsi="Calibri"/>
                <w:b w:val="0"/>
                <w:i w:val="0"/>
                <w:color w:val="111827"/>
                <w:sz w:val="18"/>
              </w:rPr>
              <w:t>Amaç, kapsam, varsayımlar, tasarım hedefleri ve kısaltmalar</w:t>
            </w:r>
          </w:p>
        </w:tc>
      </w:tr>
      <w:tr>
        <w:tc>
          <w:tcPr>
            <w:tcW w:type="dxa" w:w="2520"/>
            <w:shd w:fill="F4F7FB"/>
          </w:tcPr>
          <w:p>
            <w:pPr>
              <w:spacing w:after="0"/>
              <w:jc w:val="left"/>
            </w:pPr>
            <w:r>
              <w:rPr>
                <w:rFonts w:ascii="Calibri" w:hAnsi="Calibri"/>
                <w:b/>
                <w:i w:val="0"/>
                <w:color w:val="111827"/>
                <w:sz w:val="18"/>
              </w:rPr>
              <w:t>2. Current architecture</w:t>
            </w:r>
          </w:p>
        </w:tc>
        <w:tc>
          <w:tcPr>
            <w:tcW w:type="dxa" w:w="6955"/>
            <w:shd w:fill="F4F7FB"/>
          </w:tcPr>
          <w:p>
            <w:pPr>
              <w:spacing w:after="0"/>
              <w:jc w:val="left"/>
            </w:pPr>
            <w:r>
              <w:rPr>
                <w:rFonts w:ascii="Calibri" w:hAnsi="Calibri"/>
                <w:b w:val="0"/>
                <w:i w:val="0"/>
                <w:color w:val="111827"/>
                <w:sz w:val="18"/>
              </w:rPr>
              <w:t>Çalışan Flask görüntüleyici ve PyTorch eğitim prototipi; boşluk analizi</w:t>
            </w:r>
          </w:p>
        </w:tc>
      </w:tr>
      <w:tr>
        <w:tc>
          <w:tcPr>
            <w:tcW w:type="dxa" w:w="2520"/>
          </w:tcPr>
          <w:p>
            <w:pPr>
              <w:spacing w:after="0"/>
              <w:jc w:val="left"/>
            </w:pPr>
            <w:r>
              <w:rPr>
                <w:rFonts w:ascii="Calibri" w:hAnsi="Calibri"/>
                <w:b/>
                <w:i w:val="0"/>
                <w:color w:val="111827"/>
                <w:sz w:val="18"/>
              </w:rPr>
              <w:t>3. Proposed architecture</w:t>
            </w:r>
          </w:p>
        </w:tc>
        <w:tc>
          <w:tcPr>
            <w:tcW w:type="dxa" w:w="6955"/>
          </w:tcPr>
          <w:p>
            <w:pPr>
              <w:spacing w:after="0"/>
              <w:jc w:val="left"/>
            </w:pPr>
            <w:r>
              <w:rPr>
                <w:rFonts w:ascii="Calibri" w:hAnsi="Calibri"/>
                <w:b w:val="0"/>
                <w:i w:val="0"/>
                <w:color w:val="111827"/>
                <w:sz w:val="18"/>
              </w:rPr>
              <w:t>Bileşenler, dağıtım, kalıcılık, güvenlik, global kontrol ve boundary conditions</w:t>
            </w:r>
          </w:p>
        </w:tc>
      </w:tr>
      <w:tr>
        <w:tc>
          <w:tcPr>
            <w:tcW w:type="dxa" w:w="2520"/>
            <w:shd w:fill="F4F7FB"/>
          </w:tcPr>
          <w:p>
            <w:pPr>
              <w:spacing w:after="0"/>
              <w:jc w:val="left"/>
            </w:pPr>
            <w:r>
              <w:rPr>
                <w:rFonts w:ascii="Calibri" w:hAnsi="Calibri"/>
                <w:b/>
                <w:i w:val="0"/>
                <w:color w:val="111827"/>
                <w:sz w:val="18"/>
              </w:rPr>
              <w:t>4. Subsystem services</w:t>
            </w:r>
          </w:p>
        </w:tc>
        <w:tc>
          <w:tcPr>
            <w:tcW w:type="dxa" w:w="6955"/>
            <w:shd w:fill="F4F7FB"/>
          </w:tcPr>
          <w:p>
            <w:pPr>
              <w:spacing w:after="0"/>
              <w:jc w:val="left"/>
            </w:pPr>
            <w:r>
              <w:rPr>
                <w:rFonts w:ascii="Calibri" w:hAnsi="Calibri"/>
                <w:b w:val="0"/>
                <w:i w:val="0"/>
                <w:color w:val="111827"/>
                <w:sz w:val="18"/>
              </w:rPr>
              <w:t>Servis sözleşmeleri ve HLD-LLD izlenebilirlik matrisi</w:t>
            </w:r>
          </w:p>
        </w:tc>
      </w:tr>
      <w:tr>
        <w:tc>
          <w:tcPr>
            <w:tcW w:type="dxa" w:w="2520"/>
          </w:tcPr>
          <w:p>
            <w:pPr>
              <w:spacing w:after="0"/>
              <w:jc w:val="left"/>
            </w:pPr>
            <w:r>
              <w:rPr>
                <w:rFonts w:ascii="Calibri" w:hAnsi="Calibri"/>
                <w:b/>
                <w:i w:val="0"/>
                <w:color w:val="111827"/>
                <w:sz w:val="18"/>
              </w:rPr>
              <w:t>5. Glossary</w:t>
            </w:r>
          </w:p>
        </w:tc>
        <w:tc>
          <w:tcPr>
            <w:tcW w:type="dxa" w:w="6955"/>
          </w:tcPr>
          <w:p>
            <w:pPr>
              <w:spacing w:after="0"/>
              <w:jc w:val="left"/>
            </w:pPr>
            <w:r>
              <w:rPr>
                <w:rFonts w:ascii="Calibri" w:hAnsi="Calibri"/>
                <w:b w:val="0"/>
                <w:i w:val="0"/>
                <w:color w:val="111827"/>
                <w:sz w:val="18"/>
              </w:rPr>
              <w:t>Mimari, yer gözlem ve operasyon terimleri</w:t>
            </w:r>
          </w:p>
        </w:tc>
      </w:tr>
      <w:tr>
        <w:tc>
          <w:tcPr>
            <w:tcW w:type="dxa" w:w="2520"/>
            <w:shd w:fill="F4F7FB"/>
          </w:tcPr>
          <w:p>
            <w:pPr>
              <w:spacing w:after="0"/>
              <w:jc w:val="left"/>
            </w:pPr>
            <w:r>
              <w:rPr>
                <w:rFonts w:ascii="Calibri" w:hAnsi="Calibri"/>
                <w:b/>
                <w:i w:val="0"/>
                <w:color w:val="111827"/>
                <w:sz w:val="18"/>
              </w:rPr>
              <w:t>Appendix A-B</w:t>
            </w:r>
          </w:p>
        </w:tc>
        <w:tc>
          <w:tcPr>
            <w:tcW w:type="dxa" w:w="6955"/>
            <w:shd w:fill="F4F7FB"/>
          </w:tcPr>
          <w:p>
            <w:pPr>
              <w:spacing w:after="0"/>
              <w:jc w:val="left"/>
            </w:pPr>
            <w:r>
              <w:rPr>
                <w:rFonts w:ascii="Calibri" w:hAnsi="Calibri"/>
                <w:b w:val="0"/>
                <w:i w:val="0"/>
                <w:color w:val="111827"/>
                <w:sz w:val="18"/>
              </w:rPr>
              <w:t>Mimari karar kayıtları ve rubric uyum kontrolü</w:t>
            </w:r>
          </w:p>
        </w:tc>
      </w:tr>
      <w:tr>
        <w:tc>
          <w:tcPr>
            <w:tcW w:type="dxa" w:w="2520"/>
          </w:tcPr>
          <w:p>
            <w:pPr>
              <w:spacing w:after="0"/>
              <w:jc w:val="left"/>
            </w:pPr>
            <w:r>
              <w:rPr>
                <w:rFonts w:ascii="Calibri" w:hAnsi="Calibri"/>
                <w:b/>
                <w:i w:val="0"/>
                <w:color w:val="111827"/>
                <w:sz w:val="18"/>
              </w:rPr>
              <w:t>6. References</w:t>
            </w:r>
          </w:p>
        </w:tc>
        <w:tc>
          <w:tcPr>
            <w:tcW w:type="dxa" w:w="6955"/>
          </w:tcPr>
          <w:p>
            <w:pPr>
              <w:spacing w:after="0"/>
              <w:jc w:val="left"/>
            </w:pPr>
            <w:r>
              <w:rPr>
                <w:rFonts w:ascii="Calibri" w:hAnsi="Calibri"/>
                <w:b w:val="0"/>
                <w:i w:val="0"/>
                <w:color w:val="111827"/>
                <w:sz w:val="18"/>
              </w:rPr>
              <w:t>Proje belgeleri, teknik kaynaklar, standartlar ve mevzuat</w:t>
            </w:r>
          </w:p>
        </w:tc>
      </w:tr>
    </w:tbl>
    <w:p>
      <w:pPr>
        <w:spacing w:after="20"/>
      </w:pPr>
    </w:p>
    <w:p>
      <w:r>
        <w:br w:type="page"/>
      </w:r>
    </w:p>
    <w:p>
      <w:pPr>
        <w:pStyle w:val="Heading1"/>
        <w:keepNext/>
      </w:pPr>
      <w:r>
        <w:t>1. Introduction / Giriş</w:t>
      </w:r>
    </w:p>
    <w:p>
      <w:pPr>
        <w:pStyle w:val="Heading2"/>
        <w:keepNext/>
      </w:pPr>
      <w:r>
        <w:t>1.1 Purpose of the system</w:t>
      </w:r>
    </w:p>
    <w:p>
      <w:pPr>
        <w:widowControl/>
        <w:jc w:val="both"/>
      </w:pPr>
      <w:r>
        <w:rPr>
          <w:rFonts w:ascii="Calibri" w:hAnsi="Calibri"/>
          <w:b w:val="0"/>
          <w:i w:val="0"/>
          <w:color w:val="111827"/>
          <w:sz w:val="20"/>
        </w:rPr>
        <w:t>Make No Mistake projesinin amacı, çok zamanlı Sentinel-2 uydu görüntülerinden arazi örtüsü haritaları üreterek Ankara'nın uzun vadeli kentsel yayılmasını ve yeşil alan-yapılaşmış alan dengesini tahmin eden, belirsizliği görünür kılan akademik bir karar destek prototipi geliştirmektir. Sistem resmi imar kararı vermez; farklı model ve zaman ufuklarını aynı veri kökeni üzerinde karşılaştırılabilir biçimde sunar. MVP'nin birincil kullanıcısı proje ekibindeki teknik operatördür; kent plancıları ve araştırmacılar üretilen raporların hedef okuyucusudur. Gereksinim kapsamı; veri edinimi, ön işleme, dört mevsimsel segmentasyon modeli, alan/oran çıkarımı, iki naif baseline, zorunlu LSTM, değerlendirme, görselleştirme ve tekrarlanabilir deney kaydını içerir [3], [4].</w:t>
      </w:r>
    </w:p>
    <w:p>
      <w:pPr>
        <w:widowControl/>
        <w:jc w:val="both"/>
      </w:pPr>
      <w:r>
        <w:rPr>
          <w:rFonts w:ascii="Calibri" w:hAnsi="Calibri"/>
          <w:b w:val="0"/>
          <w:i w:val="0"/>
          <w:color w:val="111827"/>
          <w:sz w:val="20"/>
        </w:rPr>
        <w:t>Zorunlu MVP Ankara alanı ve 2016-2024 Sentinel-2 L2A dönemiyle sınırlıdır. Her yıl ve mevsim için bulut maskeli, hizalanmış kompozitler hazırlanır; dokuz sınıflı arazi örtüsü haritası ile sınıf güvenleri üretilir. Yapılaşmış alan, yeşil alan ve yeşil-bina oranı kronolojik göstergelere dönüştürülür. Tahmin katmanı 1, 3 ve 5 yıllık ufuklarda no-change, doğrusal eğilim ve LSTM sonuçlarını karşılaştırır. Mamba veya TimesFM yalnızca veri uzunluğu, kurulum maliyeti ve doğrulama başarısı izin verirse eklenir; başarısız entegrasyon MVP'yi engellemez [3].</w:t>
      </w:r>
    </w:p>
    <w:p>
      <w:pPr>
        <w:widowControl/>
        <w:jc w:val="both"/>
      </w:pPr>
      <w:r>
        <w:rPr>
          <w:rFonts w:ascii="Calibri" w:hAnsi="Calibri"/>
          <w:b w:val="0"/>
          <w:i w:val="0"/>
          <w:color w:val="111827"/>
          <w:sz w:val="20"/>
        </w:rPr>
        <w:t>Bu HLD, analiz modelindeki aktör ve gereksinimleri sistem tasarım kararlarına dönüştürür. Belge sınıf, fonksiyon veya değişken imzası vermez; sorumluluk sınırlarını, bileşenler arası veri akışını, kalıcılık modelini, dağıtımı, güvenliği ve hata kurtarma politikasını tanımlar. Her HLD bileşeni LLD paketlerine izlenebilir biçimde bağlanmıştır. Böylece LLD sırasında iç uygulama ayrıntıları değişse bile veri sözleşmeleri, sahiplik ve kalite kapıları sabit kalır [5].</w:t>
      </w:r>
    </w:p>
    <w:p>
      <w:pPr>
        <w:pStyle w:val="Heading2"/>
        <w:keepNext/>
      </w:pPr>
      <w:r>
        <w:t>1.2 Scope, stakeholders and assumptions</w:t>
      </w:r>
    </w:p>
    <w:tbl>
      <w:tblPr>
        <w:tblStyle w:val="TableGrid"/>
        <w:jc w:val="left"/>
        <w:tblLook w:firstColumn="1" w:firstRow="1" w:lastColumn="0" w:lastRow="0" w:noHBand="0" w:noVBand="1" w:val="04A0"/>
        <w:tblW w:w="9475" w:type="dxa"/>
        <w:tblInd w:w="120" w:type="dxa"/>
        <w:tblLayout w:type="fixed"/>
      </w:tblPr>
      <w:tblGrid>
        <w:gridCol w:w="1800"/>
        <w:gridCol w:w="4392"/>
        <w:gridCol w:w="3283"/>
      </w:tblGrid>
      <w:tr>
        <w:trPr>
          <w:tblHeader w:val="true"/>
        </w:trPr>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7"/>
              </w:rPr>
              <w:t>Boyut</w:t>
            </w:r>
          </w:p>
        </w:tc>
        <w:tc>
          <w:tcPr>
            <w:tcW w:type="dxa" w:w="4392"/>
            <w:tcMar>
              <w:top w:w="72" w:type="dxa"/>
              <w:start w:w="110" w:type="dxa"/>
              <w:bottom w:w="72" w:type="dxa"/>
              <w:end w:w="110" w:type="dxa"/>
            </w:tcMar>
            <w:vAlign w:val="center"/>
            <w:shd w:fill="0C2854"/>
          </w:tcPr>
          <w:p>
            <w:pPr>
              <w:spacing w:after="0"/>
              <w:jc w:val="center"/>
            </w:pPr>
            <w:r>
              <w:rPr>
                <w:rFonts w:ascii="Calibri" w:hAnsi="Calibri"/>
                <w:b/>
                <w:i w:val="0"/>
                <w:color w:val="FFFFFF"/>
                <w:sz w:val="17"/>
              </w:rPr>
              <w:t>HLD kararı</w:t>
            </w:r>
          </w:p>
        </w:tc>
        <w:tc>
          <w:tcPr>
            <w:tcW w:type="dxa" w:w="3283"/>
            <w:tcMar>
              <w:top w:w="72" w:type="dxa"/>
              <w:start w:w="110" w:type="dxa"/>
              <w:bottom w:w="72" w:type="dxa"/>
              <w:end w:w="110" w:type="dxa"/>
            </w:tcMar>
            <w:vAlign w:val="center"/>
            <w:shd w:fill="0C2854"/>
          </w:tcPr>
          <w:p>
            <w:pPr>
              <w:spacing w:after="0"/>
              <w:jc w:val="center"/>
            </w:pPr>
            <w:r>
              <w:rPr>
                <w:rFonts w:ascii="Calibri" w:hAnsi="Calibri"/>
                <w:b/>
                <w:i w:val="0"/>
                <w:color w:val="FFFFFF"/>
                <w:sz w:val="17"/>
              </w:rPr>
              <w:t>Kapsam dışı / sınır</w:t>
            </w:r>
          </w:p>
        </w:tc>
      </w:tr>
      <w:tr>
        <w:tc>
          <w:tcPr>
            <w:tcW w:type="dxa" w:w="1800"/>
          </w:tcPr>
          <w:p>
            <w:pPr>
              <w:spacing w:after="0"/>
              <w:jc w:val="left"/>
            </w:pPr>
            <w:r>
              <w:rPr>
                <w:rFonts w:ascii="Calibri" w:hAnsi="Calibri"/>
                <w:b/>
                <w:i w:val="0"/>
                <w:color w:val="111827"/>
                <w:sz w:val="17"/>
              </w:rPr>
              <w:t>Coğrafya</w:t>
            </w:r>
          </w:p>
        </w:tc>
        <w:tc>
          <w:tcPr>
            <w:tcW w:type="dxa" w:w="4392"/>
          </w:tcPr>
          <w:p>
            <w:pPr>
              <w:spacing w:after="0"/>
              <w:jc w:val="left"/>
            </w:pPr>
            <w:r>
              <w:rPr>
                <w:rFonts w:ascii="Calibri" w:hAnsi="Calibri"/>
                <w:b w:val="0"/>
                <w:i w:val="0"/>
                <w:color w:val="111827"/>
                <w:sz w:val="17"/>
              </w:rPr>
              <w:t>MVP Ankara AOI; PostGIS geometry ile sürümlenir</w:t>
            </w:r>
          </w:p>
        </w:tc>
        <w:tc>
          <w:tcPr>
            <w:tcW w:type="dxa" w:w="3283"/>
          </w:tcPr>
          <w:p>
            <w:pPr>
              <w:spacing w:after="0"/>
              <w:jc w:val="left"/>
            </w:pPr>
            <w:r>
              <w:rPr>
                <w:rFonts w:ascii="Calibri" w:hAnsi="Calibri"/>
                <w:b w:val="0"/>
                <w:i w:val="0"/>
                <w:color w:val="111827"/>
                <w:sz w:val="17"/>
              </w:rPr>
              <w:t>Küresel hizmet ve parsel/bina düzeyi karar</w:t>
            </w:r>
          </w:p>
        </w:tc>
      </w:tr>
      <w:tr>
        <w:tc>
          <w:tcPr>
            <w:tcW w:type="dxa" w:w="1800"/>
            <w:shd w:fill="F4F7FB"/>
          </w:tcPr>
          <w:p>
            <w:pPr>
              <w:spacing w:after="0"/>
              <w:jc w:val="left"/>
            </w:pPr>
            <w:r>
              <w:rPr>
                <w:rFonts w:ascii="Calibri" w:hAnsi="Calibri"/>
                <w:b/>
                <w:i w:val="0"/>
                <w:color w:val="111827"/>
                <w:sz w:val="17"/>
              </w:rPr>
              <w:t>Zaman</w:t>
            </w:r>
          </w:p>
        </w:tc>
        <w:tc>
          <w:tcPr>
            <w:tcW w:type="dxa" w:w="4392"/>
            <w:shd w:fill="F4F7FB"/>
          </w:tcPr>
          <w:p>
            <w:pPr>
              <w:spacing w:after="0"/>
              <w:jc w:val="left"/>
            </w:pPr>
            <w:r>
              <w:rPr>
                <w:rFonts w:ascii="Calibri" w:hAnsi="Calibri"/>
                <w:b w:val="0"/>
                <w:i w:val="0"/>
                <w:color w:val="111827"/>
                <w:sz w:val="17"/>
              </w:rPr>
              <w:t>Ana gözlem dönemi 2016-2024; 1/3/5 yıl tahmin</w:t>
            </w:r>
          </w:p>
        </w:tc>
        <w:tc>
          <w:tcPr>
            <w:tcW w:type="dxa" w:w="3283"/>
            <w:shd w:fill="F4F7FB"/>
          </w:tcPr>
          <w:p>
            <w:pPr>
              <w:spacing w:after="0"/>
              <w:jc w:val="left"/>
            </w:pPr>
            <w:r>
              <w:rPr>
                <w:rFonts w:ascii="Calibri" w:hAnsi="Calibri"/>
                <w:b w:val="0"/>
                <w:i w:val="0"/>
                <w:color w:val="111827"/>
                <w:sz w:val="17"/>
              </w:rPr>
              <w:t>Belirsizliği gizleyen çok uzun ufuk tahmini</w:t>
            </w:r>
          </w:p>
        </w:tc>
      </w:tr>
      <w:tr>
        <w:tc>
          <w:tcPr>
            <w:tcW w:type="dxa" w:w="1800"/>
          </w:tcPr>
          <w:p>
            <w:pPr>
              <w:spacing w:after="0"/>
              <w:jc w:val="left"/>
            </w:pPr>
            <w:r>
              <w:rPr>
                <w:rFonts w:ascii="Calibri" w:hAnsi="Calibri"/>
                <w:b/>
                <w:i w:val="0"/>
                <w:color w:val="111827"/>
                <w:sz w:val="17"/>
              </w:rPr>
              <w:t>Veri</w:t>
            </w:r>
          </w:p>
        </w:tc>
        <w:tc>
          <w:tcPr>
            <w:tcW w:type="dxa" w:w="4392"/>
          </w:tcPr>
          <w:p>
            <w:pPr>
              <w:spacing w:after="0"/>
              <w:jc w:val="left"/>
            </w:pPr>
            <w:r>
              <w:rPr>
                <w:rFonts w:ascii="Calibri" w:hAnsi="Calibri"/>
                <w:b w:val="0"/>
                <w:i w:val="0"/>
                <w:color w:val="111827"/>
                <w:sz w:val="17"/>
              </w:rPr>
              <w:t>Ana seri: Sentinel-2 L2A ve SSL4EO-S12 v1.1; GHSL/GISD30 yalnız bağımsız karşılaştırma</w:t>
            </w:r>
          </w:p>
        </w:tc>
        <w:tc>
          <w:tcPr>
            <w:tcW w:type="dxa" w:w="3283"/>
          </w:tcPr>
          <w:p>
            <w:pPr>
              <w:spacing w:after="0"/>
              <w:jc w:val="left"/>
            </w:pPr>
            <w:r>
              <w:rPr>
                <w:rFonts w:ascii="Calibri" w:hAnsi="Calibri"/>
                <w:b w:val="0"/>
                <w:i w:val="0"/>
                <w:color w:val="111827"/>
                <w:sz w:val="17"/>
              </w:rPr>
              <w:t>GHSL/GISD30'u ana Sentinel serisine eklemek; kökeni belirsiz veri</w:t>
            </w:r>
          </w:p>
        </w:tc>
      </w:tr>
      <w:tr>
        <w:tc>
          <w:tcPr>
            <w:tcW w:type="dxa" w:w="1800"/>
            <w:shd w:fill="F4F7FB"/>
          </w:tcPr>
          <w:p>
            <w:pPr>
              <w:spacing w:after="0"/>
              <w:jc w:val="left"/>
            </w:pPr>
            <w:r>
              <w:rPr>
                <w:rFonts w:ascii="Calibri" w:hAnsi="Calibri"/>
                <w:b/>
                <w:i w:val="0"/>
                <w:color w:val="111827"/>
                <w:sz w:val="17"/>
              </w:rPr>
              <w:t>Model</w:t>
            </w:r>
          </w:p>
        </w:tc>
        <w:tc>
          <w:tcPr>
            <w:tcW w:type="dxa" w:w="4392"/>
            <w:shd w:fill="F4F7FB"/>
          </w:tcPr>
          <w:p>
            <w:pPr>
              <w:spacing w:after="0"/>
              <w:jc w:val="left"/>
            </w:pPr>
            <w:r>
              <w:rPr>
                <w:rFonts w:ascii="Calibri" w:hAnsi="Calibri"/>
                <w:b w:val="0"/>
                <w:i w:val="0"/>
                <w:color w:val="111827"/>
                <w:sz w:val="17"/>
              </w:rPr>
              <w:t>Dört mevsimsel segmentasyon modeli; baseline + LSTM</w:t>
            </w:r>
          </w:p>
        </w:tc>
        <w:tc>
          <w:tcPr>
            <w:tcW w:type="dxa" w:w="3283"/>
            <w:shd w:fill="F4F7FB"/>
          </w:tcPr>
          <w:p>
            <w:pPr>
              <w:spacing w:after="0"/>
              <w:jc w:val="left"/>
            </w:pPr>
            <w:r>
              <w:rPr>
                <w:rFonts w:ascii="Calibri" w:hAnsi="Calibri"/>
                <w:b w:val="0"/>
                <w:i w:val="0"/>
                <w:color w:val="111827"/>
                <w:sz w:val="17"/>
              </w:rPr>
              <w:t>Tek model sonucunu resmi gerçek olarak sunma</w:t>
            </w:r>
          </w:p>
        </w:tc>
      </w:tr>
      <w:tr>
        <w:tc>
          <w:tcPr>
            <w:tcW w:type="dxa" w:w="1800"/>
          </w:tcPr>
          <w:p>
            <w:pPr>
              <w:spacing w:after="0"/>
              <w:jc w:val="left"/>
            </w:pPr>
            <w:r>
              <w:rPr>
                <w:rFonts w:ascii="Calibri" w:hAnsi="Calibri"/>
                <w:b/>
                <w:i w:val="0"/>
                <w:color w:val="111827"/>
                <w:sz w:val="17"/>
              </w:rPr>
              <w:t>Kullanım</w:t>
            </w:r>
          </w:p>
        </w:tc>
        <w:tc>
          <w:tcPr>
            <w:tcW w:type="dxa" w:w="4392"/>
          </w:tcPr>
          <w:p>
            <w:pPr>
              <w:spacing w:after="0"/>
              <w:jc w:val="left"/>
            </w:pPr>
            <w:r>
              <w:rPr>
                <w:rFonts w:ascii="Calibri" w:hAnsi="Calibri"/>
                <w:b w:val="0"/>
                <w:i w:val="0"/>
                <w:color w:val="111827"/>
                <w:sz w:val="17"/>
              </w:rPr>
              <w:t>Ücretsiz akademik prototip ve karar desteği</w:t>
            </w:r>
          </w:p>
        </w:tc>
        <w:tc>
          <w:tcPr>
            <w:tcW w:type="dxa" w:w="3283"/>
          </w:tcPr>
          <w:p>
            <w:pPr>
              <w:spacing w:after="0"/>
              <w:jc w:val="left"/>
            </w:pPr>
            <w:r>
              <w:rPr>
                <w:rFonts w:ascii="Calibri" w:hAnsi="Calibri"/>
                <w:b w:val="0"/>
                <w:i w:val="0"/>
                <w:color w:val="111827"/>
                <w:sz w:val="17"/>
              </w:rPr>
              <w:t>Ücretli/operasyonel belediye hizmeti; resmi imar, ruhsat veya yatırım tavsiyesi</w:t>
            </w:r>
          </w:p>
        </w:tc>
      </w:tr>
      <w:tr>
        <w:tc>
          <w:tcPr>
            <w:tcW w:type="dxa" w:w="1800"/>
            <w:shd w:fill="F4F7FB"/>
          </w:tcPr>
          <w:p>
            <w:pPr>
              <w:spacing w:after="0"/>
              <w:jc w:val="left"/>
            </w:pPr>
            <w:r>
              <w:rPr>
                <w:rFonts w:ascii="Calibri" w:hAnsi="Calibri"/>
                <w:b/>
                <w:i w:val="0"/>
                <w:color w:val="111827"/>
                <w:sz w:val="17"/>
              </w:rPr>
              <w:t>Çalıştırma</w:t>
            </w:r>
          </w:p>
        </w:tc>
        <w:tc>
          <w:tcPr>
            <w:tcW w:type="dxa" w:w="4392"/>
            <w:shd w:fill="F4F7FB"/>
          </w:tcPr>
          <w:p>
            <w:pPr>
              <w:spacing w:after="0"/>
              <w:jc w:val="left"/>
            </w:pPr>
            <w:r>
              <w:rPr>
                <w:rFonts w:ascii="Calibri" w:hAnsi="Calibri"/>
                <w:b w:val="0"/>
                <w:i w:val="0"/>
                <w:color w:val="111827"/>
                <w:sz w:val="17"/>
              </w:rPr>
              <w:t>Tek GPU iş istasyonu/kampüs sunucusu; konteynerli servisler</w:t>
            </w:r>
          </w:p>
        </w:tc>
        <w:tc>
          <w:tcPr>
            <w:tcW w:type="dxa" w:w="3283"/>
            <w:shd w:fill="F4F7FB"/>
          </w:tcPr>
          <w:p>
            <w:pPr>
              <w:spacing w:after="0"/>
              <w:jc w:val="left"/>
            </w:pPr>
            <w:r>
              <w:rPr>
                <w:rFonts w:ascii="Calibri" w:hAnsi="Calibri"/>
                <w:b w:val="0"/>
                <w:i w:val="0"/>
                <w:color w:val="111827"/>
                <w:sz w:val="17"/>
              </w:rPr>
              <w:t>İlk teslimde çok bölgeli yüksek erişilebilirlik</w:t>
            </w:r>
          </w:p>
        </w:tc>
      </w:tr>
    </w:tbl>
    <w:p>
      <w:pPr>
        <w:spacing w:after="20"/>
      </w:pPr>
    </w:p>
    <w:p>
      <w:pPr>
        <w:widowControl/>
        <w:jc w:val="both"/>
      </w:pPr>
      <w:r>
        <w:rPr>
          <w:rFonts w:ascii="Calibri" w:hAnsi="Calibri"/>
          <w:b w:val="0"/>
          <w:i w:val="0"/>
          <w:color w:val="111827"/>
          <w:sz w:val="20"/>
        </w:rPr>
        <w:t>Analiz ve PKE kararına göre varsayılan MVP kişisel veri işlemez: uygulama kullanıcı profili, OIDC subject, IP adresi, kişi, açık adres, parsel sahibi veya bireysel başvuru kaydetmez. Erişim, tek teknik operatörlü akademik kurulumda işletim sistemi/kampüs ağı/reverse proxy kapısında doğrulanır; uygulamaya yalnız kısa ömürlü ve kişiyi tanımlamayan bir oturum veya yetenek kapsamı aktarılır. Kişisel ya da belediyeye özel katman eklemek kapsam değişikliğidir ve PKE, hukuki/etik değerlendirme ile saklama politikasının yeniden onayını gerektirir [3], [4].</w:t>
      </w:r>
    </w:p>
    <w:p>
      <w:pPr>
        <w:pStyle w:val="Heading2"/>
        <w:keepNext/>
      </w:pPr>
      <w:r>
        <w:t>1.3 Design goals and trade-offs</w:t>
      </w:r>
    </w:p>
    <w:p>
      <w:pPr>
        <w:widowControl/>
        <w:jc w:val="both"/>
      </w:pPr>
      <w:r>
        <w:rPr>
          <w:rFonts w:ascii="Calibri" w:hAnsi="Calibri"/>
          <w:b w:val="0"/>
          <w:i w:val="0"/>
          <w:color w:val="111827"/>
          <w:sz w:val="20"/>
        </w:rPr>
        <w:t>Aşağıdaki hedefler aynı anda en üst düzeye çıkarılamaz. Mimari, çelişen hedeflerde hangi tarafın seçildiğini ve hangi telafi mekanizmasının kullanıldığını açıkça kaydeder. Kararlar, NFR-01..NFR-10 ile doğrudan ilişkilidir ve kalite nitelikleri ISO/IEC 25010 ürün kalite modeliyle uyumlu ele alınır [6].</w:t>
      </w:r>
    </w:p>
    <w:p>
      <w:r>
        <w:br w:type="page"/>
      </w:r>
    </w:p>
    <w:tbl>
      <w:tblPr>
        <w:tblStyle w:val="TableGrid"/>
        <w:jc w:val="left"/>
        <w:tblLook w:firstColumn="1" w:firstRow="1" w:lastColumn="0" w:lastRow="0" w:noHBand="0" w:noVBand="1" w:val="04A0"/>
        <w:tblW w:w="9475" w:type="dxa"/>
        <w:tblInd w:w="120" w:type="dxa"/>
        <w:tblLayout w:type="fixed"/>
      </w:tblPr>
      <w:tblGrid>
        <w:gridCol w:w="792"/>
        <w:gridCol w:w="1900"/>
        <w:gridCol w:w="2088"/>
        <w:gridCol w:w="4694"/>
      </w:tblGrid>
      <w:tr>
        <w:trPr>
          <w:tblHeader w:val="true"/>
        </w:trPr>
        <w:tc>
          <w:tcPr>
            <w:tcW w:type="dxa" w:w="792"/>
            <w:tcMar>
              <w:top w:w="72" w:type="dxa"/>
              <w:start w:w="110" w:type="dxa"/>
              <w:bottom w:w="72" w:type="dxa"/>
              <w:end w:w="110" w:type="dxa"/>
            </w:tcMar>
            <w:vAlign w:val="center"/>
            <w:shd w:fill="0C2854"/>
          </w:tcPr>
          <w:p>
            <w:pPr>
              <w:spacing w:after="0"/>
              <w:jc w:val="center"/>
            </w:pPr>
            <w:r>
              <w:rPr>
                <w:rFonts w:ascii="Calibri" w:hAnsi="Calibri"/>
                <w:b/>
                <w:i w:val="0"/>
                <w:color w:val="FFFFFF"/>
                <w:sz w:val="16"/>
              </w:rPr>
              <w:t>ID</w:t>
            </w:r>
          </w:p>
        </w:tc>
        <w:tc>
          <w:tcPr>
            <w:tcW w:type="dxa" w:w="1900"/>
            <w:tcMar>
              <w:top w:w="72" w:type="dxa"/>
              <w:start w:w="110" w:type="dxa"/>
              <w:bottom w:w="72" w:type="dxa"/>
              <w:end w:w="110" w:type="dxa"/>
            </w:tcMar>
            <w:vAlign w:val="center"/>
            <w:shd w:fill="0C2854"/>
          </w:tcPr>
          <w:p>
            <w:pPr>
              <w:spacing w:after="0"/>
              <w:jc w:val="center"/>
            </w:pPr>
            <w:r>
              <w:rPr>
                <w:rFonts w:ascii="Calibri" w:hAnsi="Calibri"/>
                <w:b/>
                <w:i w:val="0"/>
                <w:color w:val="FFFFFF"/>
                <w:sz w:val="16"/>
              </w:rPr>
              <w:t>Tasarım hedefi</w:t>
            </w:r>
          </w:p>
        </w:tc>
        <w:tc>
          <w:tcPr>
            <w:tcW w:type="dxa" w:w="2088"/>
            <w:tcMar>
              <w:top w:w="72" w:type="dxa"/>
              <w:start w:w="110" w:type="dxa"/>
              <w:bottom w:w="72" w:type="dxa"/>
              <w:end w:w="110" w:type="dxa"/>
            </w:tcMar>
            <w:vAlign w:val="center"/>
            <w:shd w:fill="0C2854"/>
          </w:tcPr>
          <w:p>
            <w:pPr>
              <w:spacing w:after="0"/>
              <w:jc w:val="center"/>
            </w:pPr>
            <w:r>
              <w:rPr>
                <w:rFonts w:ascii="Calibri" w:hAnsi="Calibri"/>
                <w:b/>
                <w:i w:val="0"/>
                <w:color w:val="FFFFFF"/>
                <w:sz w:val="16"/>
              </w:rPr>
              <w:t>Çatışma</w:t>
            </w:r>
          </w:p>
        </w:tc>
        <w:tc>
          <w:tcPr>
            <w:tcW w:type="dxa" w:w="4694"/>
            <w:tcMar>
              <w:top w:w="72" w:type="dxa"/>
              <w:start w:w="110" w:type="dxa"/>
              <w:bottom w:w="72" w:type="dxa"/>
              <w:end w:w="110" w:type="dxa"/>
            </w:tcMar>
            <w:vAlign w:val="center"/>
            <w:shd w:fill="0C2854"/>
          </w:tcPr>
          <w:p>
            <w:pPr>
              <w:spacing w:after="0"/>
              <w:jc w:val="center"/>
            </w:pPr>
            <w:r>
              <w:rPr>
                <w:rFonts w:ascii="Calibri" w:hAnsi="Calibri"/>
                <w:b/>
                <w:i w:val="0"/>
                <w:color w:val="FFFFFF"/>
                <w:sz w:val="16"/>
              </w:rPr>
              <w:t>Tercih ve gerekçe</w:t>
            </w:r>
          </w:p>
        </w:tc>
      </w:tr>
      <w:tr>
        <w:tc>
          <w:tcPr>
            <w:tcW w:type="dxa" w:w="792"/>
          </w:tcPr>
          <w:p>
            <w:pPr>
              <w:spacing w:after="0"/>
              <w:jc w:val="left"/>
            </w:pPr>
            <w:r>
              <w:rPr>
                <w:rFonts w:ascii="Calibri" w:hAnsi="Calibri"/>
                <w:b/>
                <w:i w:val="0"/>
                <w:color w:val="111827"/>
                <w:sz w:val="16"/>
              </w:rPr>
              <w:t>DG-01</w:t>
            </w:r>
          </w:p>
        </w:tc>
        <w:tc>
          <w:tcPr>
            <w:tcW w:type="dxa" w:w="1900"/>
          </w:tcPr>
          <w:p>
            <w:pPr>
              <w:spacing w:after="0"/>
              <w:jc w:val="left"/>
            </w:pPr>
            <w:r>
              <w:rPr>
                <w:rFonts w:ascii="Calibri" w:hAnsi="Calibri"/>
                <w:b w:val="0"/>
                <w:i w:val="0"/>
                <w:color w:val="111827"/>
                <w:sz w:val="16"/>
              </w:rPr>
              <w:t>Tekrarlanabilirlik</w:t>
            </w:r>
          </w:p>
        </w:tc>
        <w:tc>
          <w:tcPr>
            <w:tcW w:type="dxa" w:w="2088"/>
          </w:tcPr>
          <w:p>
            <w:pPr>
              <w:spacing w:after="0"/>
              <w:jc w:val="left"/>
            </w:pPr>
            <w:r>
              <w:rPr>
                <w:rFonts w:ascii="Calibri" w:hAnsi="Calibri"/>
                <w:b w:val="0"/>
                <w:i w:val="0"/>
                <w:color w:val="111827"/>
                <w:sz w:val="16"/>
              </w:rPr>
              <w:t>Maksimum eğitim hızı</w:t>
            </w:r>
          </w:p>
        </w:tc>
        <w:tc>
          <w:tcPr>
            <w:tcW w:type="dxa" w:w="4694"/>
          </w:tcPr>
          <w:p>
            <w:pPr>
              <w:spacing w:after="0"/>
              <w:jc w:val="left"/>
            </w:pPr>
            <w:r>
              <w:rPr>
                <w:rFonts w:ascii="Calibri" w:hAnsi="Calibri"/>
                <w:b w:val="0"/>
                <w:i w:val="0"/>
                <w:color w:val="111827"/>
                <w:sz w:val="16"/>
              </w:rPr>
              <w:t>Manifest, seed, config hash, kod/model sürümü ve artifact checksum zorunlu; küçük kayıt maliyeti kabul edilir.</w:t>
            </w:r>
          </w:p>
        </w:tc>
      </w:tr>
      <w:tr>
        <w:tc>
          <w:tcPr>
            <w:tcW w:type="dxa" w:w="792"/>
            <w:shd w:fill="F4F7FB"/>
          </w:tcPr>
          <w:p>
            <w:pPr>
              <w:spacing w:after="0"/>
              <w:jc w:val="left"/>
            </w:pPr>
            <w:r>
              <w:rPr>
                <w:rFonts w:ascii="Calibri" w:hAnsi="Calibri"/>
                <w:b/>
                <w:i w:val="0"/>
                <w:color w:val="111827"/>
                <w:sz w:val="16"/>
              </w:rPr>
              <w:t>DG-02</w:t>
            </w:r>
          </w:p>
        </w:tc>
        <w:tc>
          <w:tcPr>
            <w:tcW w:type="dxa" w:w="1900"/>
            <w:shd w:fill="F4F7FB"/>
          </w:tcPr>
          <w:p>
            <w:pPr>
              <w:spacing w:after="0"/>
              <w:jc w:val="left"/>
            </w:pPr>
            <w:r>
              <w:rPr>
                <w:rFonts w:ascii="Calibri" w:hAnsi="Calibri"/>
                <w:b w:val="0"/>
                <w:i w:val="0"/>
                <w:color w:val="111827"/>
                <w:sz w:val="16"/>
              </w:rPr>
              <w:t>Modülerlik</w:t>
            </w:r>
          </w:p>
        </w:tc>
        <w:tc>
          <w:tcPr>
            <w:tcW w:type="dxa" w:w="2088"/>
            <w:shd w:fill="F4F7FB"/>
          </w:tcPr>
          <w:p>
            <w:pPr>
              <w:spacing w:after="0"/>
              <w:jc w:val="left"/>
            </w:pPr>
            <w:r>
              <w:rPr>
                <w:rFonts w:ascii="Calibri" w:hAnsi="Calibri"/>
                <w:b w:val="0"/>
                <w:i w:val="0"/>
                <w:color w:val="111827"/>
                <w:sz w:val="16"/>
              </w:rPr>
              <w:t>Operasyonel sadelik</w:t>
            </w:r>
          </w:p>
        </w:tc>
        <w:tc>
          <w:tcPr>
            <w:tcW w:type="dxa" w:w="4694"/>
            <w:shd w:fill="F4F7FB"/>
          </w:tcPr>
          <w:p>
            <w:pPr>
              <w:spacing w:after="0"/>
              <w:jc w:val="left"/>
            </w:pPr>
            <w:r>
              <w:rPr>
                <w:rFonts w:ascii="Calibri" w:hAnsi="Calibri"/>
                <w:b w:val="0"/>
                <w:i w:val="0"/>
                <w:color w:val="111827"/>
                <w:sz w:val="16"/>
              </w:rPr>
              <w:t>Mikroservis yerine modüler monolit; GPU/uzun işler süreç olarak ayrılır. Beş kişilik ekip için tek kod tabanı daha düşük işletim riski taşır.</w:t>
            </w:r>
          </w:p>
        </w:tc>
      </w:tr>
      <w:tr>
        <w:tc>
          <w:tcPr>
            <w:tcW w:type="dxa" w:w="792"/>
          </w:tcPr>
          <w:p>
            <w:pPr>
              <w:spacing w:after="0"/>
              <w:jc w:val="left"/>
            </w:pPr>
            <w:r>
              <w:rPr>
                <w:rFonts w:ascii="Calibri" w:hAnsi="Calibri"/>
                <w:b/>
                <w:i w:val="0"/>
                <w:color w:val="111827"/>
                <w:sz w:val="16"/>
              </w:rPr>
              <w:t>DG-03</w:t>
            </w:r>
          </w:p>
        </w:tc>
        <w:tc>
          <w:tcPr>
            <w:tcW w:type="dxa" w:w="1900"/>
          </w:tcPr>
          <w:p>
            <w:pPr>
              <w:spacing w:after="0"/>
              <w:jc w:val="left"/>
            </w:pPr>
            <w:r>
              <w:rPr>
                <w:rFonts w:ascii="Calibri" w:hAnsi="Calibri"/>
                <w:b w:val="0"/>
                <w:i w:val="0"/>
                <w:color w:val="111827"/>
                <w:sz w:val="16"/>
              </w:rPr>
              <w:t>Güvenilirlik</w:t>
            </w:r>
          </w:p>
        </w:tc>
        <w:tc>
          <w:tcPr>
            <w:tcW w:type="dxa" w:w="2088"/>
          </w:tcPr>
          <w:p>
            <w:pPr>
              <w:spacing w:after="0"/>
              <w:jc w:val="left"/>
            </w:pPr>
            <w:r>
              <w:rPr>
                <w:rFonts w:ascii="Calibri" w:hAnsi="Calibri"/>
                <w:b w:val="0"/>
                <w:i w:val="0"/>
                <w:color w:val="111827"/>
                <w:sz w:val="16"/>
              </w:rPr>
              <w:t>Hızlı başarısız olma</w:t>
            </w:r>
          </w:p>
        </w:tc>
        <w:tc>
          <w:tcPr>
            <w:tcW w:type="dxa" w:w="4694"/>
          </w:tcPr>
          <w:p>
            <w:pPr>
              <w:spacing w:after="0"/>
              <w:jc w:val="left"/>
            </w:pPr>
            <w:r>
              <w:rPr>
                <w:rFonts w:ascii="Calibri" w:hAnsi="Calibri"/>
                <w:b w:val="0"/>
                <w:i w:val="0"/>
                <w:color w:val="111827"/>
                <w:sz w:val="16"/>
              </w:rPr>
              <w:t>Geçici dış servis hataları retry/circuit breaker ile tolere edilir; doğrulama, yetki ve veri bütünlüğü hataları hemen durdurulur.</w:t>
            </w:r>
          </w:p>
        </w:tc>
      </w:tr>
      <w:tr>
        <w:tc>
          <w:tcPr>
            <w:tcW w:type="dxa" w:w="792"/>
            <w:shd w:fill="F4F7FB"/>
          </w:tcPr>
          <w:p>
            <w:pPr>
              <w:spacing w:after="0"/>
              <w:jc w:val="left"/>
            </w:pPr>
            <w:r>
              <w:rPr>
                <w:rFonts w:ascii="Calibri" w:hAnsi="Calibri"/>
                <w:b/>
                <w:i w:val="0"/>
                <w:color w:val="111827"/>
                <w:sz w:val="16"/>
              </w:rPr>
              <w:t>DG-04</w:t>
            </w:r>
          </w:p>
        </w:tc>
        <w:tc>
          <w:tcPr>
            <w:tcW w:type="dxa" w:w="1900"/>
            <w:shd w:fill="F4F7FB"/>
          </w:tcPr>
          <w:p>
            <w:pPr>
              <w:spacing w:after="0"/>
              <w:jc w:val="left"/>
            </w:pPr>
            <w:r>
              <w:rPr>
                <w:rFonts w:ascii="Calibri" w:hAnsi="Calibri"/>
                <w:b w:val="0"/>
                <w:i w:val="0"/>
                <w:color w:val="111827"/>
                <w:sz w:val="16"/>
              </w:rPr>
              <w:t>Coğrafi doğruluk</w:t>
            </w:r>
          </w:p>
        </w:tc>
        <w:tc>
          <w:tcPr>
            <w:tcW w:type="dxa" w:w="2088"/>
            <w:shd w:fill="F4F7FB"/>
          </w:tcPr>
          <w:p>
            <w:pPr>
              <w:spacing w:after="0"/>
              <w:jc w:val="left"/>
            </w:pPr>
            <w:r>
              <w:rPr>
                <w:rFonts w:ascii="Calibri" w:hAnsi="Calibri"/>
                <w:b w:val="0"/>
                <w:i w:val="0"/>
                <w:color w:val="111827"/>
                <w:sz w:val="16"/>
              </w:rPr>
              <w:t>Depolama ve işlem maliyeti</w:t>
            </w:r>
          </w:p>
        </w:tc>
        <w:tc>
          <w:tcPr>
            <w:tcW w:type="dxa" w:w="4694"/>
            <w:shd w:fill="F4F7FB"/>
          </w:tcPr>
          <w:p>
            <w:pPr>
              <w:spacing w:after="0"/>
              <w:jc w:val="left"/>
            </w:pPr>
            <w:r>
              <w:rPr>
                <w:rFonts w:ascii="Calibri" w:hAnsi="Calibri"/>
                <w:b w:val="0"/>
                <w:i w:val="0"/>
                <w:color w:val="111827"/>
                <w:sz w:val="16"/>
              </w:rPr>
              <w:t>CRS, piksel çözünürlüğü, AOI ve kalite metadata'sı korunur; büyük rasterler DB yerine nesne deposunda tutulur.</w:t>
            </w:r>
          </w:p>
        </w:tc>
      </w:tr>
      <w:tr>
        <w:tc>
          <w:tcPr>
            <w:tcW w:type="dxa" w:w="792"/>
          </w:tcPr>
          <w:p>
            <w:pPr>
              <w:spacing w:after="0"/>
              <w:jc w:val="left"/>
            </w:pPr>
            <w:r>
              <w:rPr>
                <w:rFonts w:ascii="Calibri" w:hAnsi="Calibri"/>
                <w:b/>
                <w:i w:val="0"/>
                <w:color w:val="111827"/>
                <w:sz w:val="16"/>
              </w:rPr>
              <w:t>DG-05</w:t>
            </w:r>
          </w:p>
        </w:tc>
        <w:tc>
          <w:tcPr>
            <w:tcW w:type="dxa" w:w="1900"/>
          </w:tcPr>
          <w:p>
            <w:pPr>
              <w:spacing w:after="0"/>
              <w:jc w:val="left"/>
            </w:pPr>
            <w:r>
              <w:rPr>
                <w:rFonts w:ascii="Calibri" w:hAnsi="Calibri"/>
                <w:b w:val="0"/>
                <w:i w:val="0"/>
                <w:color w:val="111827"/>
                <w:sz w:val="16"/>
              </w:rPr>
              <w:t>Açıklanabilir sonuç</w:t>
            </w:r>
          </w:p>
        </w:tc>
        <w:tc>
          <w:tcPr>
            <w:tcW w:type="dxa" w:w="2088"/>
          </w:tcPr>
          <w:p>
            <w:pPr>
              <w:spacing w:after="0"/>
              <w:jc w:val="left"/>
            </w:pPr>
            <w:r>
              <w:rPr>
                <w:rFonts w:ascii="Calibri" w:hAnsi="Calibri"/>
                <w:b w:val="0"/>
                <w:i w:val="0"/>
                <w:color w:val="111827"/>
                <w:sz w:val="16"/>
              </w:rPr>
              <w:t>Model karmaşıklığı</w:t>
            </w:r>
          </w:p>
        </w:tc>
        <w:tc>
          <w:tcPr>
            <w:tcW w:type="dxa" w:w="4694"/>
          </w:tcPr>
          <w:p>
            <w:pPr>
              <w:spacing w:after="0"/>
              <w:jc w:val="left"/>
            </w:pPr>
            <w:r>
              <w:rPr>
                <w:rFonts w:ascii="Calibri" w:hAnsi="Calibri"/>
                <w:b w:val="0"/>
                <w:i w:val="0"/>
                <w:color w:val="111827"/>
                <w:sz w:val="16"/>
              </w:rPr>
              <w:t>Baseline karşılaştırması, sınıf/ufuk metrikleri ve belirsizlik notu zorunlu; ileri model ancak ölçülebilir kazançla kabul edilir.</w:t>
            </w:r>
          </w:p>
        </w:tc>
      </w:tr>
      <w:tr>
        <w:tc>
          <w:tcPr>
            <w:tcW w:type="dxa" w:w="792"/>
            <w:shd w:fill="F4F7FB"/>
          </w:tcPr>
          <w:p>
            <w:pPr>
              <w:spacing w:after="0"/>
              <w:jc w:val="left"/>
            </w:pPr>
            <w:r>
              <w:rPr>
                <w:rFonts w:ascii="Calibri" w:hAnsi="Calibri"/>
                <w:b/>
                <w:i w:val="0"/>
                <w:color w:val="111827"/>
                <w:sz w:val="16"/>
              </w:rPr>
              <w:t>DG-06</w:t>
            </w:r>
          </w:p>
        </w:tc>
        <w:tc>
          <w:tcPr>
            <w:tcW w:type="dxa" w:w="1900"/>
            <w:shd w:fill="F4F7FB"/>
          </w:tcPr>
          <w:p>
            <w:pPr>
              <w:spacing w:after="0"/>
              <w:jc w:val="left"/>
            </w:pPr>
            <w:r>
              <w:rPr>
                <w:rFonts w:ascii="Calibri" w:hAnsi="Calibri"/>
                <w:b w:val="0"/>
                <w:i w:val="0"/>
                <w:color w:val="111827"/>
                <w:sz w:val="16"/>
              </w:rPr>
              <w:t>Gizlilik ve güvenlik</w:t>
            </w:r>
          </w:p>
        </w:tc>
        <w:tc>
          <w:tcPr>
            <w:tcW w:type="dxa" w:w="2088"/>
            <w:shd w:fill="F4F7FB"/>
          </w:tcPr>
          <w:p>
            <w:pPr>
              <w:spacing w:after="0"/>
              <w:jc w:val="left"/>
            </w:pPr>
            <w:r>
              <w:rPr>
                <w:rFonts w:ascii="Calibri" w:hAnsi="Calibri"/>
                <w:b w:val="0"/>
                <w:i w:val="0"/>
                <w:color w:val="111827"/>
                <w:sz w:val="16"/>
              </w:rPr>
              <w:t>Kullanım kolaylığı</w:t>
            </w:r>
          </w:p>
        </w:tc>
        <w:tc>
          <w:tcPr>
            <w:tcW w:type="dxa" w:w="4694"/>
            <w:shd w:fill="F4F7FB"/>
          </w:tcPr>
          <w:p>
            <w:pPr>
              <w:spacing w:after="0"/>
              <w:jc w:val="left"/>
            </w:pPr>
            <w:r>
              <w:rPr>
                <w:rFonts w:ascii="Calibri" w:hAnsi="Calibri"/>
                <w:b w:val="0"/>
                <w:i w:val="0"/>
                <w:color w:val="111827"/>
                <w:sz w:val="16"/>
              </w:rPr>
              <w:t>MVP kişisel veri tutmaz; host/kampüs erişim kapısı, kısa ömürlü capability, servis kimliği, en az ayrıcalık ve kimliksiz audit uygulanır.</w:t>
            </w:r>
          </w:p>
        </w:tc>
      </w:tr>
      <w:tr>
        <w:tc>
          <w:tcPr>
            <w:tcW w:type="dxa" w:w="792"/>
          </w:tcPr>
          <w:p>
            <w:pPr>
              <w:spacing w:after="0"/>
              <w:jc w:val="left"/>
            </w:pPr>
            <w:r>
              <w:rPr>
                <w:rFonts w:ascii="Calibri" w:hAnsi="Calibri"/>
                <w:b/>
                <w:i w:val="0"/>
                <w:color w:val="111827"/>
                <w:sz w:val="16"/>
              </w:rPr>
              <w:t>DG-07</w:t>
            </w:r>
          </w:p>
        </w:tc>
        <w:tc>
          <w:tcPr>
            <w:tcW w:type="dxa" w:w="1900"/>
          </w:tcPr>
          <w:p>
            <w:pPr>
              <w:spacing w:after="0"/>
              <w:jc w:val="left"/>
            </w:pPr>
            <w:r>
              <w:rPr>
                <w:rFonts w:ascii="Calibri" w:hAnsi="Calibri"/>
                <w:b w:val="0"/>
                <w:i w:val="0"/>
                <w:color w:val="111827"/>
                <w:sz w:val="16"/>
              </w:rPr>
              <w:t>Tek GPU'ya sığma</w:t>
            </w:r>
          </w:p>
        </w:tc>
        <w:tc>
          <w:tcPr>
            <w:tcW w:type="dxa" w:w="2088"/>
          </w:tcPr>
          <w:p>
            <w:pPr>
              <w:spacing w:after="0"/>
              <w:jc w:val="left"/>
            </w:pPr>
            <w:r>
              <w:rPr>
                <w:rFonts w:ascii="Calibri" w:hAnsi="Calibri"/>
                <w:b w:val="0"/>
                <w:i w:val="0"/>
                <w:color w:val="111827"/>
                <w:sz w:val="16"/>
              </w:rPr>
              <w:t>Maksimum model kapasitesi</w:t>
            </w:r>
          </w:p>
        </w:tc>
        <w:tc>
          <w:tcPr>
            <w:tcW w:type="dxa" w:w="4694"/>
          </w:tcPr>
          <w:p>
            <w:pPr>
              <w:spacing w:after="0"/>
              <w:jc w:val="left"/>
            </w:pPr>
            <w:r>
              <w:rPr>
                <w:rFonts w:ascii="Calibri" w:hAnsi="Calibri"/>
                <w:b w:val="0"/>
                <w:i w:val="0"/>
                <w:color w:val="111827"/>
                <w:sz w:val="16"/>
              </w:rPr>
              <w:t>Patch/batch ayarlanabilir, AMP ve checkpoint kullanılır; NFR-04 gereği 16 GB VRAM üstü varsayılmaz.</w:t>
            </w:r>
          </w:p>
        </w:tc>
      </w:tr>
      <w:tr>
        <w:tc>
          <w:tcPr>
            <w:tcW w:type="dxa" w:w="792"/>
            <w:shd w:fill="F4F7FB"/>
          </w:tcPr>
          <w:p>
            <w:pPr>
              <w:spacing w:after="0"/>
              <w:jc w:val="left"/>
            </w:pPr>
            <w:r>
              <w:rPr>
                <w:rFonts w:ascii="Calibri" w:hAnsi="Calibri"/>
                <w:b/>
                <w:i w:val="0"/>
                <w:color w:val="111827"/>
                <w:sz w:val="16"/>
              </w:rPr>
              <w:t>DG-08</w:t>
            </w:r>
          </w:p>
        </w:tc>
        <w:tc>
          <w:tcPr>
            <w:tcW w:type="dxa" w:w="1900"/>
            <w:shd w:fill="F4F7FB"/>
          </w:tcPr>
          <w:p>
            <w:pPr>
              <w:spacing w:after="0"/>
              <w:jc w:val="left"/>
            </w:pPr>
            <w:r>
              <w:rPr>
                <w:rFonts w:ascii="Calibri" w:hAnsi="Calibri"/>
                <w:b w:val="0"/>
                <w:i w:val="0"/>
                <w:color w:val="111827"/>
                <w:sz w:val="16"/>
              </w:rPr>
              <w:t>Taşınabilirlik</w:t>
            </w:r>
          </w:p>
        </w:tc>
        <w:tc>
          <w:tcPr>
            <w:tcW w:type="dxa" w:w="2088"/>
            <w:shd w:fill="F4F7FB"/>
          </w:tcPr>
          <w:p>
            <w:pPr>
              <w:spacing w:after="0"/>
              <w:jc w:val="left"/>
            </w:pPr>
            <w:r>
              <w:rPr>
                <w:rFonts w:ascii="Calibri" w:hAnsi="Calibri"/>
                <w:b w:val="0"/>
                <w:i w:val="0"/>
                <w:color w:val="111827"/>
                <w:sz w:val="16"/>
              </w:rPr>
              <w:t>Sağlayıcıya özgü optimizasyon</w:t>
            </w:r>
          </w:p>
        </w:tc>
        <w:tc>
          <w:tcPr>
            <w:tcW w:type="dxa" w:w="4694"/>
            <w:shd w:fill="F4F7FB"/>
          </w:tcPr>
          <w:p>
            <w:pPr>
              <w:spacing w:after="0"/>
              <w:jc w:val="left"/>
            </w:pPr>
            <w:r>
              <w:rPr>
                <w:rFonts w:ascii="Calibri" w:hAnsi="Calibri"/>
                <w:b w:val="0"/>
                <w:i w:val="0"/>
                <w:color w:val="111827"/>
                <w:sz w:val="16"/>
              </w:rPr>
              <w:t>GEE, dosya sistemi ve S3 erişimi adapter sözleşmeleriyle soyutlanır; veri kökeni kaydı sağlayıcıdan bağımsızdır.</w:t>
            </w:r>
          </w:p>
        </w:tc>
      </w:tr>
      <w:tr>
        <w:tc>
          <w:tcPr>
            <w:tcW w:type="dxa" w:w="792"/>
          </w:tcPr>
          <w:p>
            <w:pPr>
              <w:spacing w:after="0"/>
              <w:jc w:val="left"/>
            </w:pPr>
            <w:r>
              <w:rPr>
                <w:rFonts w:ascii="Calibri" w:hAnsi="Calibri"/>
                <w:b/>
                <w:i w:val="0"/>
                <w:color w:val="111827"/>
                <w:sz w:val="16"/>
              </w:rPr>
              <w:t>DG-09</w:t>
            </w:r>
          </w:p>
        </w:tc>
        <w:tc>
          <w:tcPr>
            <w:tcW w:type="dxa" w:w="1900"/>
          </w:tcPr>
          <w:p>
            <w:pPr>
              <w:spacing w:after="0"/>
              <w:jc w:val="left"/>
            </w:pPr>
            <w:r>
              <w:rPr>
                <w:rFonts w:ascii="Calibri" w:hAnsi="Calibri"/>
                <w:b w:val="0"/>
                <w:i w:val="0"/>
                <w:color w:val="111827"/>
                <w:sz w:val="16"/>
              </w:rPr>
              <w:t>Şeffaflık</w:t>
            </w:r>
          </w:p>
        </w:tc>
        <w:tc>
          <w:tcPr>
            <w:tcW w:type="dxa" w:w="2088"/>
          </w:tcPr>
          <w:p>
            <w:pPr>
              <w:spacing w:after="0"/>
              <w:jc w:val="left"/>
            </w:pPr>
            <w:r>
              <w:rPr>
                <w:rFonts w:ascii="Calibri" w:hAnsi="Calibri"/>
                <w:b w:val="0"/>
                <w:i w:val="0"/>
                <w:color w:val="111827"/>
                <w:sz w:val="16"/>
              </w:rPr>
              <w:t>Arayüz sadeliği</w:t>
            </w:r>
          </w:p>
        </w:tc>
        <w:tc>
          <w:tcPr>
            <w:tcW w:type="dxa" w:w="4694"/>
          </w:tcPr>
          <w:p>
            <w:pPr>
              <w:spacing w:after="0"/>
              <w:jc w:val="left"/>
            </w:pPr>
            <w:r>
              <w:rPr>
                <w:rFonts w:ascii="Calibri" w:hAnsi="Calibri"/>
                <w:b w:val="0"/>
                <w:i w:val="0"/>
                <w:color w:val="111827"/>
                <w:sz w:val="16"/>
              </w:rPr>
              <w:t>Kullanıcıya özet kalite gösterilir; ayrıntılı provenance ve metrikler indirilebilir raporda sunulur.</w:t>
            </w:r>
          </w:p>
        </w:tc>
      </w:tr>
    </w:tbl>
    <w:p>
      <w:pPr>
        <w:spacing w:after="20"/>
      </w:pPr>
    </w:p>
    <w:tbl>
      <w:tblPr>
        <w:tblStyle w:val="TableGrid"/>
        <w:jc w:val="left"/>
        <w:tblLook w:firstColumn="1" w:firstRow="1" w:lastColumn="0" w:lastRow="0" w:noHBand="0" w:noVBand="1" w:val="04A0"/>
        <w:tblW w:w="9475" w:type="dxa"/>
        <w:tblInd w:w="120" w:type="dxa"/>
        <w:tblLayout w:type="fixed"/>
      </w:tblPr>
      <w:tblGrid>
        <w:gridCol w:w="9475"/>
      </w:tblGrid>
      <w:tr>
        <w:tc>
          <w:tcPr>
            <w:tcW w:type="dxa" w:w="9475"/>
            <w:tcMar>
              <w:top w:w="72" w:type="dxa"/>
              <w:start w:w="110" w:type="dxa"/>
              <w:bottom w:w="72" w:type="dxa"/>
              <w:end w:w="110" w:type="dxa"/>
            </w:tcMar>
            <w:vAlign w:val="center"/>
            <w:shd w:fill="F7F0DF"/>
          </w:tcPr>
          <w:p>
            <w:pPr>
              <w:spacing w:after="0"/>
            </w:pPr>
            <w:r>
              <w:rPr>
                <w:rFonts w:ascii="Calibri" w:hAnsi="Calibri"/>
                <w:b/>
                <w:i w:val="0"/>
                <w:color w:val="0C2854"/>
                <w:sz w:val="20"/>
              </w:rPr>
              <w:t xml:space="preserve">Öncelik sırası: </w:t>
            </w:r>
            <w:r>
              <w:rPr>
                <w:rFonts w:ascii="Calibri" w:hAnsi="Calibri"/>
                <w:b w:val="0"/>
                <w:i w:val="0"/>
                <w:color w:val="111827"/>
                <w:sz w:val="20"/>
              </w:rPr>
              <w:t>Veri bütünlüğü ve izlenebilirlik &gt; güvenlik &gt; güvenilirlik &gt; doğruluk hedefi &gt; performans &gt; özellik genişliği. Bu sıra, teslim baskısında kalite bayraklarının veya audit kayıtlarının kapatılmasını engeller.</w:t>
            </w:r>
          </w:p>
        </w:tc>
      </w:tr>
    </w:tbl>
    <w:p>
      <w:pPr>
        <w:spacing w:after="20"/>
      </w:pPr>
    </w:p>
    <w:p>
      <w:pPr>
        <w:widowControl/>
        <w:jc w:val="both"/>
      </w:pPr>
      <w:r>
        <w:rPr>
          <w:rFonts w:ascii="Calibri" w:hAnsi="Calibri"/>
          <w:b w:val="0"/>
          <w:i w:val="0"/>
          <w:color w:val="111827"/>
          <w:sz w:val="20"/>
        </w:rPr>
        <w:t>DG-02 en kritik yapısal karardır. Sistem bağımsız ölçeklenebilen işler içerdiği için doğrudan mikroservis seçmek cazip görünür; ancak ilk teslim tek şehir, tek GPU ve sınırlı eşzamanlı kullanıcı yükündedir. Ayrı dağıtılan çok sayıda servis; dağıtık işlem, sözleşme sürümleme, gözlemlenebilirlik ve güvenlik yükünü artırır. Modüler monolit, aynı işlem sınırında tutarlı metadata değişiklikleri sağlar. Kuyruklanan worker sözleşmeleri ve ayrık artifact store sayesinde gelecekte veri edinimi veya GPU inference bileşeni ayrı servise çıkarılabilir.</w:t>
      </w:r>
    </w:p>
    <w:p>
      <w:pPr>
        <w:pStyle w:val="Heading2"/>
        <w:keepNext/>
      </w:pPr>
      <w:r>
        <w:t>1.4 Definitions / Acronyms / Abbreviations</w:t>
      </w:r>
    </w:p>
    <w:tbl>
      <w:tblPr>
        <w:tblStyle w:val="TableGrid"/>
        <w:jc w:val="left"/>
        <w:tblLook w:firstColumn="1" w:firstRow="1" w:lastColumn="0" w:lastRow="0" w:noHBand="0" w:noVBand="1" w:val="04A0"/>
        <w:tblW w:w="9475" w:type="dxa"/>
        <w:tblInd w:w="120" w:type="dxa"/>
        <w:tblLayout w:type="fixed"/>
      </w:tblPr>
      <w:tblGrid>
        <w:gridCol w:w="1440"/>
        <w:gridCol w:w="3168"/>
        <w:gridCol w:w="4867"/>
      </w:tblGrid>
      <w:tr>
        <w:trPr>
          <w:tblHeader w:val="true"/>
        </w:trPr>
        <w:tc>
          <w:tcPr>
            <w:tcW w:type="dxa" w:w="1440"/>
            <w:tcMar>
              <w:top w:w="72" w:type="dxa"/>
              <w:start w:w="110" w:type="dxa"/>
              <w:bottom w:w="72" w:type="dxa"/>
              <w:end w:w="110" w:type="dxa"/>
            </w:tcMar>
            <w:vAlign w:val="center"/>
            <w:shd w:fill="0C2854"/>
          </w:tcPr>
          <w:p>
            <w:pPr>
              <w:spacing w:after="0"/>
              <w:jc w:val="center"/>
            </w:pPr>
            <w:r>
              <w:rPr>
                <w:rFonts w:ascii="Calibri" w:hAnsi="Calibri"/>
                <w:b/>
                <w:i w:val="0"/>
                <w:color w:val="FFFFFF"/>
                <w:sz w:val="17"/>
              </w:rPr>
              <w:t>Kısaltma</w:t>
            </w:r>
          </w:p>
        </w:tc>
        <w:tc>
          <w:tcPr>
            <w:tcW w:type="dxa" w:w="3168"/>
            <w:tcMar>
              <w:top w:w="72" w:type="dxa"/>
              <w:start w:w="110" w:type="dxa"/>
              <w:bottom w:w="72" w:type="dxa"/>
              <w:end w:w="110" w:type="dxa"/>
            </w:tcMar>
            <w:vAlign w:val="center"/>
            <w:shd w:fill="0C2854"/>
          </w:tcPr>
          <w:p>
            <w:pPr>
              <w:spacing w:after="0"/>
              <w:jc w:val="center"/>
            </w:pPr>
            <w:r>
              <w:rPr>
                <w:rFonts w:ascii="Calibri" w:hAnsi="Calibri"/>
                <w:b/>
                <w:i w:val="0"/>
                <w:color w:val="FFFFFF"/>
                <w:sz w:val="17"/>
              </w:rPr>
              <w:t>Açılım / anlam</w:t>
            </w:r>
          </w:p>
        </w:tc>
        <w:tc>
          <w:tcPr>
            <w:tcW w:type="dxa" w:w="4867"/>
            <w:tcMar>
              <w:top w:w="72" w:type="dxa"/>
              <w:start w:w="110" w:type="dxa"/>
              <w:bottom w:w="72" w:type="dxa"/>
              <w:end w:w="110" w:type="dxa"/>
            </w:tcMar>
            <w:vAlign w:val="center"/>
            <w:shd w:fill="0C2854"/>
          </w:tcPr>
          <w:p>
            <w:pPr>
              <w:spacing w:after="0"/>
              <w:jc w:val="center"/>
            </w:pPr>
            <w:r>
              <w:rPr>
                <w:rFonts w:ascii="Calibri" w:hAnsi="Calibri"/>
                <w:b/>
                <w:i w:val="0"/>
                <w:color w:val="FFFFFF"/>
                <w:sz w:val="17"/>
              </w:rPr>
              <w:t>Bu rapordaki kullanım</w:t>
            </w:r>
          </w:p>
        </w:tc>
      </w:tr>
      <w:tr>
        <w:tc>
          <w:tcPr>
            <w:tcW w:type="dxa" w:w="1440"/>
          </w:tcPr>
          <w:p>
            <w:pPr>
              <w:spacing w:after="0"/>
              <w:jc w:val="left"/>
            </w:pPr>
            <w:r>
              <w:rPr>
                <w:rFonts w:ascii="Calibri" w:hAnsi="Calibri"/>
                <w:b/>
                <w:i w:val="0"/>
                <w:color w:val="111827"/>
                <w:sz w:val="17"/>
              </w:rPr>
              <w:t>AOI</w:t>
            </w:r>
          </w:p>
        </w:tc>
        <w:tc>
          <w:tcPr>
            <w:tcW w:type="dxa" w:w="3168"/>
          </w:tcPr>
          <w:p>
            <w:pPr>
              <w:spacing w:after="0"/>
              <w:jc w:val="left"/>
            </w:pPr>
            <w:r>
              <w:rPr>
                <w:rFonts w:ascii="Calibri" w:hAnsi="Calibri"/>
                <w:b w:val="0"/>
                <w:i w:val="0"/>
                <w:color w:val="111827"/>
                <w:sz w:val="17"/>
              </w:rPr>
              <w:t>Area of Interest</w:t>
            </w:r>
          </w:p>
        </w:tc>
        <w:tc>
          <w:tcPr>
            <w:tcW w:type="dxa" w:w="4867"/>
          </w:tcPr>
          <w:p>
            <w:pPr>
              <w:spacing w:after="0"/>
              <w:jc w:val="left"/>
            </w:pPr>
            <w:r>
              <w:rPr>
                <w:rFonts w:ascii="Calibri" w:hAnsi="Calibri"/>
                <w:b w:val="0"/>
                <w:i w:val="0"/>
                <w:color w:val="111827"/>
                <w:sz w:val="17"/>
              </w:rPr>
              <w:t>Analiz edilecek coğrafi sınır; MVP'de Ankara.</w:t>
            </w:r>
          </w:p>
        </w:tc>
      </w:tr>
      <w:tr>
        <w:tc>
          <w:tcPr>
            <w:tcW w:type="dxa" w:w="1440"/>
            <w:shd w:fill="F4F7FB"/>
          </w:tcPr>
          <w:p>
            <w:pPr>
              <w:spacing w:after="0"/>
              <w:jc w:val="left"/>
            </w:pPr>
            <w:r>
              <w:rPr>
                <w:rFonts w:ascii="Calibri" w:hAnsi="Calibri"/>
                <w:b/>
                <w:i w:val="0"/>
                <w:color w:val="111827"/>
                <w:sz w:val="17"/>
              </w:rPr>
              <w:t>L2A</w:t>
            </w:r>
          </w:p>
        </w:tc>
        <w:tc>
          <w:tcPr>
            <w:tcW w:type="dxa" w:w="3168"/>
            <w:shd w:fill="F4F7FB"/>
          </w:tcPr>
          <w:p>
            <w:pPr>
              <w:spacing w:after="0"/>
              <w:jc w:val="left"/>
            </w:pPr>
            <w:r>
              <w:rPr>
                <w:rFonts w:ascii="Calibri" w:hAnsi="Calibri"/>
                <w:b w:val="0"/>
                <w:i w:val="0"/>
                <w:color w:val="111827"/>
                <w:sz w:val="17"/>
              </w:rPr>
              <w:t>Level-2A surface reflectance</w:t>
            </w:r>
          </w:p>
        </w:tc>
        <w:tc>
          <w:tcPr>
            <w:tcW w:type="dxa" w:w="4867"/>
            <w:shd w:fill="F4F7FB"/>
          </w:tcPr>
          <w:p>
            <w:pPr>
              <w:spacing w:after="0"/>
              <w:jc w:val="left"/>
            </w:pPr>
            <w:r>
              <w:rPr>
                <w:rFonts w:ascii="Calibri" w:hAnsi="Calibri"/>
                <w:b w:val="0"/>
                <w:i w:val="0"/>
                <w:color w:val="111827"/>
                <w:sz w:val="17"/>
              </w:rPr>
              <w:t>Atmosferik düzeltmesi yapılmış Sentinel-2 ürünü.</w:t>
            </w:r>
          </w:p>
        </w:tc>
      </w:tr>
      <w:tr>
        <w:tc>
          <w:tcPr>
            <w:tcW w:type="dxa" w:w="1440"/>
          </w:tcPr>
          <w:p>
            <w:pPr>
              <w:spacing w:after="0"/>
              <w:jc w:val="left"/>
            </w:pPr>
            <w:r>
              <w:rPr>
                <w:rFonts w:ascii="Calibri" w:hAnsi="Calibri"/>
                <w:b/>
                <w:i w:val="0"/>
                <w:color w:val="111827"/>
                <w:sz w:val="17"/>
              </w:rPr>
              <w:t>LULC</w:t>
            </w:r>
          </w:p>
        </w:tc>
        <w:tc>
          <w:tcPr>
            <w:tcW w:type="dxa" w:w="3168"/>
          </w:tcPr>
          <w:p>
            <w:pPr>
              <w:spacing w:after="0"/>
              <w:jc w:val="left"/>
            </w:pPr>
            <w:r>
              <w:rPr>
                <w:rFonts w:ascii="Calibri" w:hAnsi="Calibri"/>
                <w:b w:val="0"/>
                <w:i w:val="0"/>
                <w:color w:val="111827"/>
                <w:sz w:val="17"/>
              </w:rPr>
              <w:t>Land Use / Land Cover</w:t>
            </w:r>
          </w:p>
        </w:tc>
        <w:tc>
          <w:tcPr>
            <w:tcW w:type="dxa" w:w="4867"/>
          </w:tcPr>
          <w:p>
            <w:pPr>
              <w:spacing w:after="0"/>
              <w:jc w:val="left"/>
            </w:pPr>
            <w:r>
              <w:rPr>
                <w:rFonts w:ascii="Calibri" w:hAnsi="Calibri"/>
                <w:b w:val="0"/>
                <w:i w:val="0"/>
                <w:color w:val="111827"/>
                <w:sz w:val="17"/>
              </w:rPr>
              <w:t>Dokuz sınıflı arazi örtüsü taksonomisi.</w:t>
            </w:r>
          </w:p>
        </w:tc>
      </w:tr>
      <w:tr>
        <w:tc>
          <w:tcPr>
            <w:tcW w:type="dxa" w:w="1440"/>
            <w:shd w:fill="F4F7FB"/>
          </w:tcPr>
          <w:p>
            <w:pPr>
              <w:spacing w:after="0"/>
              <w:jc w:val="left"/>
            </w:pPr>
            <w:r>
              <w:rPr>
                <w:rFonts w:ascii="Calibri" w:hAnsi="Calibri"/>
                <w:b/>
                <w:i w:val="0"/>
                <w:color w:val="111827"/>
                <w:sz w:val="17"/>
              </w:rPr>
              <w:t>HLD / LLD</w:t>
            </w:r>
          </w:p>
        </w:tc>
        <w:tc>
          <w:tcPr>
            <w:tcW w:type="dxa" w:w="3168"/>
            <w:shd w:fill="F4F7FB"/>
          </w:tcPr>
          <w:p>
            <w:pPr>
              <w:spacing w:after="0"/>
              <w:jc w:val="left"/>
            </w:pPr>
            <w:r>
              <w:rPr>
                <w:rFonts w:ascii="Calibri" w:hAnsi="Calibri"/>
                <w:b w:val="0"/>
                <w:i w:val="0"/>
                <w:color w:val="111827"/>
                <w:sz w:val="17"/>
              </w:rPr>
              <w:t>High-Level / Low-Level Design</w:t>
            </w:r>
          </w:p>
        </w:tc>
        <w:tc>
          <w:tcPr>
            <w:tcW w:type="dxa" w:w="4867"/>
            <w:shd w:fill="F4F7FB"/>
          </w:tcPr>
          <w:p>
            <w:pPr>
              <w:spacing w:after="0"/>
              <w:jc w:val="left"/>
            </w:pPr>
            <w:r>
              <w:rPr>
                <w:rFonts w:ascii="Calibri" w:hAnsi="Calibri"/>
                <w:b w:val="0"/>
                <w:i w:val="0"/>
                <w:color w:val="111827"/>
                <w:sz w:val="17"/>
              </w:rPr>
              <w:t>Mimari kararlar / ayrıntılı sınıf, akış ve konfigürasyon tasarımı.</w:t>
            </w:r>
          </w:p>
        </w:tc>
      </w:tr>
      <w:tr>
        <w:tc>
          <w:tcPr>
            <w:tcW w:type="dxa" w:w="1440"/>
          </w:tcPr>
          <w:p>
            <w:pPr>
              <w:spacing w:after="0"/>
              <w:jc w:val="left"/>
            </w:pPr>
            <w:r>
              <w:rPr>
                <w:rFonts w:ascii="Calibri" w:hAnsi="Calibri"/>
                <w:b/>
                <w:i w:val="0"/>
                <w:color w:val="111827"/>
                <w:sz w:val="17"/>
              </w:rPr>
              <w:t>Capability</w:t>
            </w:r>
          </w:p>
        </w:tc>
        <w:tc>
          <w:tcPr>
            <w:tcW w:type="dxa" w:w="3168"/>
          </w:tcPr>
          <w:p>
            <w:pPr>
              <w:spacing w:after="0"/>
              <w:jc w:val="left"/>
            </w:pPr>
            <w:r>
              <w:rPr>
                <w:rFonts w:ascii="Calibri" w:hAnsi="Calibri"/>
                <w:b w:val="0"/>
                <w:i w:val="0"/>
                <w:color w:val="111827"/>
                <w:sz w:val="17"/>
              </w:rPr>
              <w:t>Kapsamlı kısa ömürlü yetki</w:t>
            </w:r>
          </w:p>
        </w:tc>
        <w:tc>
          <w:tcPr>
            <w:tcW w:type="dxa" w:w="4867"/>
          </w:tcPr>
          <w:p>
            <w:pPr>
              <w:spacing w:after="0"/>
              <w:jc w:val="left"/>
            </w:pPr>
            <w:r>
              <w:rPr>
                <w:rFonts w:ascii="Calibri" w:hAnsi="Calibri"/>
                <w:b w:val="0"/>
                <w:i w:val="0"/>
                <w:color w:val="111827"/>
                <w:sz w:val="17"/>
              </w:rPr>
              <w:t>Kişiyi tanımlayan hesap kaydetmeden proje/job işlemlerini sınırlar.</w:t>
            </w:r>
          </w:p>
        </w:tc>
      </w:tr>
      <w:tr>
        <w:tc>
          <w:tcPr>
            <w:tcW w:type="dxa" w:w="1440"/>
            <w:shd w:fill="F4F7FB"/>
          </w:tcPr>
          <w:p>
            <w:pPr>
              <w:spacing w:after="0"/>
              <w:jc w:val="left"/>
            </w:pPr>
            <w:r>
              <w:rPr>
                <w:rFonts w:ascii="Calibri" w:hAnsi="Calibri"/>
                <w:b/>
                <w:i w:val="0"/>
                <w:color w:val="111827"/>
                <w:sz w:val="17"/>
              </w:rPr>
              <w:t>RPO / RTO</w:t>
            </w:r>
          </w:p>
        </w:tc>
        <w:tc>
          <w:tcPr>
            <w:tcW w:type="dxa" w:w="3168"/>
            <w:shd w:fill="F4F7FB"/>
          </w:tcPr>
          <w:p>
            <w:pPr>
              <w:spacing w:after="0"/>
              <w:jc w:val="left"/>
            </w:pPr>
            <w:r>
              <w:rPr>
                <w:rFonts w:ascii="Calibri" w:hAnsi="Calibri"/>
                <w:b w:val="0"/>
                <w:i w:val="0"/>
                <w:color w:val="111827"/>
                <w:sz w:val="17"/>
              </w:rPr>
              <w:t>Recovery Point / Time Objective</w:t>
            </w:r>
          </w:p>
        </w:tc>
        <w:tc>
          <w:tcPr>
            <w:tcW w:type="dxa" w:w="4867"/>
            <w:shd w:fill="F4F7FB"/>
          </w:tcPr>
          <w:p>
            <w:pPr>
              <w:spacing w:after="0"/>
              <w:jc w:val="left"/>
            </w:pPr>
            <w:r>
              <w:rPr>
                <w:rFonts w:ascii="Calibri" w:hAnsi="Calibri"/>
                <w:b w:val="0"/>
                <w:i w:val="0"/>
                <w:color w:val="111827"/>
                <w:sz w:val="17"/>
              </w:rPr>
              <w:t>Kurumca doğrulanacak yedekleme tasarım varsayımları; MVP kabul şartı değildir.</w:t>
            </w:r>
          </w:p>
        </w:tc>
      </w:tr>
      <w:tr>
        <w:tc>
          <w:tcPr>
            <w:tcW w:type="dxa" w:w="1440"/>
          </w:tcPr>
          <w:p>
            <w:pPr>
              <w:spacing w:after="0"/>
              <w:jc w:val="left"/>
            </w:pPr>
            <w:r>
              <w:rPr>
                <w:rFonts w:ascii="Calibri" w:hAnsi="Calibri"/>
                <w:b/>
                <w:i w:val="0"/>
                <w:color w:val="111827"/>
                <w:sz w:val="17"/>
              </w:rPr>
              <w:t>CRS</w:t>
            </w:r>
          </w:p>
        </w:tc>
        <w:tc>
          <w:tcPr>
            <w:tcW w:type="dxa" w:w="3168"/>
          </w:tcPr>
          <w:p>
            <w:pPr>
              <w:spacing w:after="0"/>
              <w:jc w:val="left"/>
            </w:pPr>
            <w:r>
              <w:rPr>
                <w:rFonts w:ascii="Calibri" w:hAnsi="Calibri"/>
                <w:b w:val="0"/>
                <w:i w:val="0"/>
                <w:color w:val="111827"/>
                <w:sz w:val="17"/>
              </w:rPr>
              <w:t>Coordinate Reference System</w:t>
            </w:r>
          </w:p>
        </w:tc>
        <w:tc>
          <w:tcPr>
            <w:tcW w:type="dxa" w:w="4867"/>
          </w:tcPr>
          <w:p>
            <w:pPr>
              <w:spacing w:after="0"/>
              <w:jc w:val="left"/>
            </w:pPr>
            <w:r>
              <w:rPr>
                <w:rFonts w:ascii="Calibri" w:hAnsi="Calibri"/>
                <w:b w:val="0"/>
                <w:i w:val="0"/>
                <w:color w:val="111827"/>
                <w:sz w:val="17"/>
              </w:rPr>
              <w:t>Raster ve geometri hizalamasının koordinat referansı.</w:t>
            </w:r>
          </w:p>
        </w:tc>
      </w:tr>
      <w:tr>
        <w:tc>
          <w:tcPr>
            <w:tcW w:type="dxa" w:w="1440"/>
            <w:shd w:fill="F4F7FB"/>
          </w:tcPr>
          <w:p>
            <w:pPr>
              <w:spacing w:after="0"/>
              <w:jc w:val="left"/>
            </w:pPr>
            <w:r>
              <w:rPr>
                <w:rFonts w:ascii="Calibri" w:hAnsi="Calibri"/>
                <w:b/>
                <w:i w:val="0"/>
                <w:color w:val="111827"/>
                <w:sz w:val="17"/>
              </w:rPr>
              <w:t>PITR</w:t>
            </w:r>
          </w:p>
        </w:tc>
        <w:tc>
          <w:tcPr>
            <w:tcW w:type="dxa" w:w="3168"/>
            <w:shd w:fill="F4F7FB"/>
          </w:tcPr>
          <w:p>
            <w:pPr>
              <w:spacing w:after="0"/>
              <w:jc w:val="left"/>
            </w:pPr>
            <w:r>
              <w:rPr>
                <w:rFonts w:ascii="Calibri" w:hAnsi="Calibri"/>
                <w:b w:val="0"/>
                <w:i w:val="0"/>
                <w:color w:val="111827"/>
                <w:sz w:val="17"/>
              </w:rPr>
              <w:t>Point-in-Time Recovery</w:t>
            </w:r>
          </w:p>
        </w:tc>
        <w:tc>
          <w:tcPr>
            <w:tcW w:type="dxa" w:w="4867"/>
            <w:shd w:fill="F4F7FB"/>
          </w:tcPr>
          <w:p>
            <w:pPr>
              <w:spacing w:after="0"/>
              <w:jc w:val="left"/>
            </w:pPr>
            <w:r>
              <w:rPr>
                <w:rFonts w:ascii="Calibri" w:hAnsi="Calibri"/>
                <w:b w:val="0"/>
                <w:i w:val="0"/>
                <w:color w:val="111827"/>
                <w:sz w:val="17"/>
              </w:rPr>
              <w:t>PostgreSQL WAL arşiviyle belirli ana dönme.</w:t>
            </w:r>
          </w:p>
        </w:tc>
      </w:tr>
    </w:tbl>
    <w:p>
      <w:pPr>
        <w:spacing w:after="20"/>
      </w:pPr>
    </w:p>
    <w:p>
      <w:pPr>
        <w:pStyle w:val="Heading1"/>
        <w:keepNext/>
      </w:pPr>
      <w:r>
        <w:t>2. Current software architecture</w:t>
      </w:r>
    </w:p>
    <w:p>
      <w:pPr>
        <w:widowControl/>
        <w:jc w:val="both"/>
      </w:pPr>
      <w:r>
        <w:rPr>
          <w:rFonts w:ascii="Calibri" w:hAnsi="Calibri"/>
          <w:b w:val="0"/>
          <w:i w:val="0"/>
          <w:color w:val="111827"/>
          <w:sz w:val="20"/>
        </w:rPr>
        <w:t>Depodaki çalışan prototip iki paralel parçadan oluşur. Birinci parça, statik HTML/CSS/JavaScript arayüzü sunan Flask uygulamasıdır. Uygulama yerel S2RGB ve LULC Zarr ZIP dosyalarını doğrudan açar, örnekleri listeler ve ilk zaman adımına ait RGB ile renklenmiş arazi örtüsü görsellerini HTTP üzerinden sunar. İkinci parça, SSL4EO-S12 v1.1 verisinden mevsim konumunu tarihe göre seçen, deterministik manifest hazırlayan ve ilkbahar Attention U-Net modelini eğiten çevrimdışı PyTorch hattıdır. Bu mevcut-durum tespiti 6 Ağustos 2026 tarihli çalışma alanı kaynak kodu incelemesine dayanır [7]; veri setinin özgün ve v1.1 yayınları ile dağıtım kaydı [8]-[10], Sentinel-2 ürün tanımları [11], [12], Attention U-Net mimarisi [13], Flask ve PyTorch teknik davranışları ise ilgili birincil dokümantasyonlarla desteklenir [14], [15].</w:t>
      </w:r>
    </w:p>
    <w:p>
      <w:pPr>
        <w:widowControl/>
        <w:jc w:val="both"/>
      </w:pPr>
      <w:r>
        <w:rPr>
          <w:rFonts w:ascii="Calibri" w:hAnsi="Calibri"/>
          <w:b w:val="0"/>
          <w:i w:val="0"/>
          <w:color w:val="111827"/>
          <w:sz w:val="20"/>
        </w:rPr>
        <w:t>Mevcut veri hazırlama akışı 2.560 eşleşmiş örneği lokasyon bazında 2.048 eğitim, 256 doğrulama ve 256 test kaydına ayırır; seed=42 kullanır. Sınıf etiketi 0 No Data olarak yok sayılır, kaynak etiketleri 1..9 eğitimde 0..8 aralığına dönüştürülür. Eğitim hattı bileşik cross-entropy + Dice kaybı, sınıf ağırlıkları, AMP, erken durdurma, gradient clipping, en iyi/son checkpoint ve Macro-F1/Macro-IoU/piksel doğruluğu raporlamasını içerir. Sayılar ve gerçekleştirilmiş davranışlar proje kaynak kodu, manifest ve eğitim artefactlarının anlık görüntüsünden alınmıştır [7]; AMP ve checkpoint mekanizmalarının platform anlamı PyTorch belgeleriyle doğrulanır [15]. Bunlar hedef mimaride korunacak güçlü izlenebilirlik ve değerlendirme çekirdeğidir; ancak yalnız ilkbahar modeli gerçekleştirilmiştir.</w:t>
      </w:r>
    </w:p>
    <w:p>
      <w:pPr>
        <w:keepNext/>
        <w:jc w:val="center"/>
      </w:pPr>
      <w:r>
        <w:drawing>
          <wp:inline xmlns:a="http://schemas.openxmlformats.org/drawingml/2006/main" xmlns:pic="http://schemas.openxmlformats.org/drawingml/2006/picture">
            <wp:extent cx="5989320" cy="3618548"/>
            <wp:docPr id="2" name="Picture 2"/>
            <wp:cNvGraphicFramePr>
              <a:graphicFrameLocks noChangeAspect="1"/>
            </wp:cNvGraphicFramePr>
            <a:graphic>
              <a:graphicData uri="http://schemas.openxmlformats.org/drawingml/2006/picture">
                <pic:pic>
                  <pic:nvPicPr>
                    <pic:cNvPr id="0" name="current_architecture.png"/>
                    <pic:cNvPicPr/>
                  </pic:nvPicPr>
                  <pic:blipFill>
                    <a:blip r:embed="rId12"/>
                    <a:stretch>
                      <a:fillRect/>
                    </a:stretch>
                  </pic:blipFill>
                  <pic:spPr>
                    <a:xfrm>
                      <a:off x="0" y="0"/>
                      <a:ext cx="5989320" cy="3618548"/>
                    </a:xfrm>
                    <a:prstGeom prst="rect"/>
                  </pic:spPr>
                </pic:pic>
              </a:graphicData>
            </a:graphic>
          </wp:inline>
        </w:drawing>
      </w:r>
    </w:p>
    <w:p>
      <w:pPr>
        <w:pStyle w:val="Caption"/>
        <w:spacing w:before="40" w:after="160"/>
        <w:jc w:val="center"/>
      </w:pPr>
      <w:r>
        <w:t>Şekil 1. Mevcut prototip mimarisi ve iki hat arasındaki entegrasyon boşluğu.</w:t>
      </w:r>
    </w:p>
    <w:p>
      <w:pPr>
        <w:pStyle w:val="Heading2"/>
        <w:keepNext/>
      </w:pPr>
      <w:r>
        <w:t>2.1 Current component responsibilities</w:t>
      </w:r>
    </w:p>
    <w:tbl>
      <w:tblPr>
        <w:tblStyle w:val="TableGrid"/>
        <w:jc w:val="left"/>
        <w:tblLook w:firstColumn="1" w:firstRow="1" w:lastColumn="0" w:lastRow="0" w:noHBand="0" w:noVBand="1" w:val="04A0"/>
        <w:tblW w:w="9475" w:type="dxa"/>
        <w:tblInd w:w="120" w:type="dxa"/>
        <w:tblLayout w:type="fixed"/>
      </w:tblPr>
      <w:tblGrid>
        <w:gridCol w:w="1800"/>
        <w:gridCol w:w="3024"/>
        <w:gridCol w:w="2088"/>
        <w:gridCol w:w="2563"/>
      </w:tblGrid>
      <w:tr>
        <w:trPr>
          <w:tblHeader w:val="true"/>
        </w:trPr>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7"/>
              </w:rPr>
              <w:t>Mevcut parça</w:t>
            </w:r>
          </w:p>
        </w:tc>
        <w:tc>
          <w:tcPr>
            <w:tcW w:type="dxa" w:w="3024"/>
            <w:tcMar>
              <w:top w:w="72" w:type="dxa"/>
              <w:start w:w="110" w:type="dxa"/>
              <w:bottom w:w="72" w:type="dxa"/>
              <w:end w:w="110" w:type="dxa"/>
            </w:tcMar>
            <w:vAlign w:val="center"/>
            <w:shd w:fill="0C2854"/>
          </w:tcPr>
          <w:p>
            <w:pPr>
              <w:spacing w:after="0"/>
              <w:jc w:val="center"/>
            </w:pPr>
            <w:r>
              <w:rPr>
                <w:rFonts w:ascii="Calibri" w:hAnsi="Calibri"/>
                <w:b/>
                <w:i w:val="0"/>
                <w:color w:val="FFFFFF"/>
                <w:sz w:val="17"/>
              </w:rPr>
              <w:t>Sorumluluk</w:t>
            </w:r>
          </w:p>
        </w:tc>
        <w:tc>
          <w:tcPr>
            <w:tcW w:type="dxa" w:w="2088"/>
            <w:tcMar>
              <w:top w:w="72" w:type="dxa"/>
              <w:start w:w="110" w:type="dxa"/>
              <w:bottom w:w="72" w:type="dxa"/>
              <w:end w:w="110" w:type="dxa"/>
            </w:tcMar>
            <w:vAlign w:val="center"/>
            <w:shd w:fill="0C2854"/>
          </w:tcPr>
          <w:p>
            <w:pPr>
              <w:spacing w:after="0"/>
              <w:jc w:val="center"/>
            </w:pPr>
            <w:r>
              <w:rPr>
                <w:rFonts w:ascii="Calibri" w:hAnsi="Calibri"/>
                <w:b/>
                <w:i w:val="0"/>
                <w:color w:val="FFFFFF"/>
                <w:sz w:val="17"/>
              </w:rPr>
              <w:t>Kalıcı çıktı</w:t>
            </w:r>
          </w:p>
        </w:tc>
        <w:tc>
          <w:tcPr>
            <w:tcW w:type="dxa" w:w="2563"/>
            <w:tcMar>
              <w:top w:w="72" w:type="dxa"/>
              <w:start w:w="110" w:type="dxa"/>
              <w:bottom w:w="72" w:type="dxa"/>
              <w:end w:w="110" w:type="dxa"/>
            </w:tcMar>
            <w:vAlign w:val="center"/>
            <w:shd w:fill="0C2854"/>
          </w:tcPr>
          <w:p>
            <w:pPr>
              <w:spacing w:after="0"/>
              <w:jc w:val="center"/>
            </w:pPr>
            <w:r>
              <w:rPr>
                <w:rFonts w:ascii="Calibri" w:hAnsi="Calibri"/>
                <w:b/>
                <w:i w:val="0"/>
                <w:color w:val="FFFFFF"/>
                <w:sz w:val="17"/>
              </w:rPr>
              <w:t>HLD açısından boşluk</w:t>
            </w:r>
          </w:p>
        </w:tc>
      </w:tr>
      <w:tr>
        <w:tc>
          <w:tcPr>
            <w:tcW w:type="dxa" w:w="1800"/>
          </w:tcPr>
          <w:p>
            <w:pPr>
              <w:spacing w:after="0"/>
              <w:jc w:val="left"/>
            </w:pPr>
            <w:r>
              <w:rPr>
                <w:rFonts w:ascii="Calibri" w:hAnsi="Calibri"/>
                <w:b/>
                <w:i w:val="0"/>
                <w:color w:val="111827"/>
                <w:sz w:val="17"/>
              </w:rPr>
              <w:t>Flask web uygulaması</w:t>
            </w:r>
          </w:p>
        </w:tc>
        <w:tc>
          <w:tcPr>
            <w:tcW w:type="dxa" w:w="3024"/>
          </w:tcPr>
          <w:p>
            <w:pPr>
              <w:spacing w:after="0"/>
              <w:jc w:val="left"/>
            </w:pPr>
            <w:r>
              <w:rPr>
                <w:rFonts w:ascii="Calibri" w:hAnsi="Calibri"/>
                <w:b w:val="0"/>
                <w:i w:val="0"/>
                <w:color w:val="111827"/>
                <w:sz w:val="17"/>
              </w:rPr>
              <w:t>Örnek listeleme ve RGB/LULC görüntüsü sunma</w:t>
            </w:r>
          </w:p>
        </w:tc>
        <w:tc>
          <w:tcPr>
            <w:tcW w:type="dxa" w:w="2088"/>
          </w:tcPr>
          <w:p>
            <w:pPr>
              <w:spacing w:after="0"/>
              <w:jc w:val="left"/>
            </w:pPr>
            <w:r>
              <w:rPr>
                <w:rFonts w:ascii="Calibri" w:hAnsi="Calibri"/>
                <w:b w:val="0"/>
                <w:i w:val="0"/>
                <w:color w:val="111827"/>
                <w:sz w:val="17"/>
              </w:rPr>
              <w:t>Yok; doğrudan dosya okur</w:t>
            </w:r>
          </w:p>
        </w:tc>
        <w:tc>
          <w:tcPr>
            <w:tcW w:type="dxa" w:w="2563"/>
          </w:tcPr>
          <w:p>
            <w:pPr>
              <w:spacing w:after="0"/>
              <w:jc w:val="left"/>
            </w:pPr>
            <w:r>
              <w:rPr>
                <w:rFonts w:ascii="Calibri" w:hAnsi="Calibri"/>
                <w:b w:val="0"/>
                <w:i w:val="0"/>
                <w:color w:val="111827"/>
                <w:sz w:val="17"/>
              </w:rPr>
              <w:t>Kimlik, proje, iş durumu, kota, audit ve hata sözleşmesi yok</w:t>
            </w:r>
          </w:p>
        </w:tc>
      </w:tr>
      <w:tr>
        <w:tc>
          <w:tcPr>
            <w:tcW w:type="dxa" w:w="1800"/>
            <w:shd w:fill="F4F7FB"/>
          </w:tcPr>
          <w:p>
            <w:pPr>
              <w:spacing w:after="0"/>
              <w:jc w:val="left"/>
            </w:pPr>
            <w:r>
              <w:rPr>
                <w:rFonts w:ascii="Calibri" w:hAnsi="Calibri"/>
                <w:b/>
                <w:i w:val="0"/>
                <w:color w:val="111827"/>
                <w:sz w:val="17"/>
              </w:rPr>
              <w:t>Statik web arayüzü</w:t>
            </w:r>
          </w:p>
        </w:tc>
        <w:tc>
          <w:tcPr>
            <w:tcW w:type="dxa" w:w="3024"/>
            <w:shd w:fill="F4F7FB"/>
          </w:tcPr>
          <w:p>
            <w:pPr>
              <w:spacing w:after="0"/>
              <w:jc w:val="left"/>
            </w:pPr>
            <w:r>
              <w:rPr>
                <w:rFonts w:ascii="Calibri" w:hAnsi="Calibri"/>
                <w:b w:val="0"/>
                <w:i w:val="0"/>
                <w:color w:val="111827"/>
                <w:sz w:val="17"/>
              </w:rPr>
              <w:t>Lokasyon seçimi ve iki görselin karşılaştırılması</w:t>
            </w:r>
          </w:p>
        </w:tc>
        <w:tc>
          <w:tcPr>
            <w:tcW w:type="dxa" w:w="2088"/>
            <w:shd w:fill="F4F7FB"/>
          </w:tcPr>
          <w:p>
            <w:pPr>
              <w:spacing w:after="0"/>
              <w:jc w:val="left"/>
            </w:pPr>
            <w:r>
              <w:rPr>
                <w:rFonts w:ascii="Calibri" w:hAnsi="Calibri"/>
                <w:b w:val="0"/>
                <w:i w:val="0"/>
                <w:color w:val="111827"/>
                <w:sz w:val="17"/>
              </w:rPr>
              <w:t>Tarayıcı durumu</w:t>
            </w:r>
          </w:p>
        </w:tc>
        <w:tc>
          <w:tcPr>
            <w:tcW w:type="dxa" w:w="2563"/>
            <w:shd w:fill="F4F7FB"/>
          </w:tcPr>
          <w:p>
            <w:pPr>
              <w:spacing w:after="0"/>
              <w:jc w:val="left"/>
            </w:pPr>
            <w:r>
              <w:rPr>
                <w:rFonts w:ascii="Calibri" w:hAnsi="Calibri"/>
                <w:b w:val="0"/>
                <w:i w:val="0"/>
                <w:color w:val="111827"/>
                <w:sz w:val="17"/>
              </w:rPr>
              <w:t>AOI/tarih/model seçimi, iş takibi, kalite ve belirsizlik ekranları yok</w:t>
            </w:r>
          </w:p>
        </w:tc>
      </w:tr>
      <w:tr>
        <w:tc>
          <w:tcPr>
            <w:tcW w:type="dxa" w:w="1800"/>
          </w:tcPr>
          <w:p>
            <w:pPr>
              <w:spacing w:after="0"/>
              <w:jc w:val="left"/>
            </w:pPr>
            <w:r>
              <w:rPr>
                <w:rFonts w:ascii="Calibri" w:hAnsi="Calibri"/>
                <w:b/>
                <w:i w:val="0"/>
                <w:color w:val="111827"/>
                <w:sz w:val="17"/>
              </w:rPr>
              <w:t>Veri hazırlama</w:t>
            </w:r>
          </w:p>
        </w:tc>
        <w:tc>
          <w:tcPr>
            <w:tcW w:type="dxa" w:w="3024"/>
          </w:tcPr>
          <w:p>
            <w:pPr>
              <w:spacing w:after="0"/>
              <w:jc w:val="left"/>
            </w:pPr>
            <w:r>
              <w:rPr>
                <w:rFonts w:ascii="Calibri" w:hAnsi="Calibri"/>
                <w:b w:val="0"/>
                <w:i w:val="0"/>
                <w:color w:val="111827"/>
                <w:sz w:val="17"/>
              </w:rPr>
              <w:t>Eşleşme, mevsim seçimi, split ve istatistik</w:t>
            </w:r>
          </w:p>
        </w:tc>
        <w:tc>
          <w:tcPr>
            <w:tcW w:type="dxa" w:w="2088"/>
          </w:tcPr>
          <w:p>
            <w:pPr>
              <w:spacing w:after="0"/>
              <w:jc w:val="left"/>
            </w:pPr>
            <w:r>
              <w:rPr>
                <w:rFonts w:ascii="Calibri" w:hAnsi="Calibri"/>
                <w:b w:val="0"/>
                <w:i w:val="0"/>
                <w:color w:val="111827"/>
                <w:sz w:val="17"/>
              </w:rPr>
              <w:t>CSV manifest + JSON istatistik</w:t>
            </w:r>
          </w:p>
        </w:tc>
        <w:tc>
          <w:tcPr>
            <w:tcW w:type="dxa" w:w="2563"/>
          </w:tcPr>
          <w:p>
            <w:pPr>
              <w:spacing w:after="0"/>
              <w:jc w:val="left"/>
            </w:pPr>
            <w:r>
              <w:rPr>
                <w:rFonts w:ascii="Calibri" w:hAnsi="Calibri"/>
                <w:b w:val="0"/>
                <w:i w:val="0"/>
                <w:color w:val="111827"/>
                <w:sz w:val="17"/>
              </w:rPr>
              <w:t>Merkezi provenance/model registry ile bağlı değil</w:t>
            </w:r>
          </w:p>
        </w:tc>
      </w:tr>
      <w:tr>
        <w:tc>
          <w:tcPr>
            <w:tcW w:type="dxa" w:w="1800"/>
            <w:shd w:fill="F4F7FB"/>
          </w:tcPr>
          <w:p>
            <w:pPr>
              <w:spacing w:after="0"/>
              <w:jc w:val="left"/>
            </w:pPr>
            <w:r>
              <w:rPr>
                <w:rFonts w:ascii="Calibri" w:hAnsi="Calibri"/>
                <w:b/>
                <w:i w:val="0"/>
                <w:color w:val="111827"/>
                <w:sz w:val="17"/>
              </w:rPr>
              <w:t>Attention U-Net eğitimi</w:t>
            </w:r>
          </w:p>
        </w:tc>
        <w:tc>
          <w:tcPr>
            <w:tcW w:type="dxa" w:w="3024"/>
            <w:shd w:fill="F4F7FB"/>
          </w:tcPr>
          <w:p>
            <w:pPr>
              <w:spacing w:after="0"/>
              <w:jc w:val="left"/>
            </w:pPr>
            <w:r>
              <w:rPr>
                <w:rFonts w:ascii="Calibri" w:hAnsi="Calibri"/>
                <w:b w:val="0"/>
                <w:i w:val="0"/>
                <w:color w:val="111827"/>
                <w:sz w:val="17"/>
              </w:rPr>
              <w:t>İlkbahar dokuz sınıflı segmentasyon</w:t>
            </w:r>
          </w:p>
        </w:tc>
        <w:tc>
          <w:tcPr>
            <w:tcW w:type="dxa" w:w="2088"/>
            <w:shd w:fill="F4F7FB"/>
          </w:tcPr>
          <w:p>
            <w:pPr>
              <w:spacing w:after="0"/>
              <w:jc w:val="left"/>
            </w:pPr>
            <w:r>
              <w:rPr>
                <w:rFonts w:ascii="Calibri" w:hAnsi="Calibri"/>
                <w:b w:val="0"/>
                <w:i w:val="0"/>
                <w:color w:val="111827"/>
                <w:sz w:val="17"/>
              </w:rPr>
              <w:t>Checkpoint, history, metrics, preview</w:t>
            </w:r>
          </w:p>
        </w:tc>
        <w:tc>
          <w:tcPr>
            <w:tcW w:type="dxa" w:w="2563"/>
            <w:shd w:fill="F4F7FB"/>
          </w:tcPr>
          <w:p>
            <w:pPr>
              <w:spacing w:after="0"/>
              <w:jc w:val="left"/>
            </w:pPr>
            <w:r>
              <w:rPr>
                <w:rFonts w:ascii="Calibri" w:hAnsi="Calibri"/>
                <w:b w:val="0"/>
                <w:i w:val="0"/>
                <w:color w:val="111827"/>
                <w:sz w:val="17"/>
              </w:rPr>
              <w:t>Diğer mevsimler, merkezi job state ve artifact kayıtları yok</w:t>
            </w:r>
          </w:p>
        </w:tc>
      </w:tr>
      <w:tr>
        <w:tc>
          <w:tcPr>
            <w:tcW w:type="dxa" w:w="1800"/>
          </w:tcPr>
          <w:p>
            <w:pPr>
              <w:spacing w:after="0"/>
              <w:jc w:val="left"/>
            </w:pPr>
            <w:r>
              <w:rPr>
                <w:rFonts w:ascii="Calibri" w:hAnsi="Calibri"/>
                <w:b/>
                <w:i w:val="0"/>
                <w:color w:val="111827"/>
                <w:sz w:val="17"/>
              </w:rPr>
              <w:t>Yerel dosya sistemi</w:t>
            </w:r>
          </w:p>
        </w:tc>
        <w:tc>
          <w:tcPr>
            <w:tcW w:type="dxa" w:w="3024"/>
          </w:tcPr>
          <w:p>
            <w:pPr>
              <w:spacing w:after="0"/>
              <w:jc w:val="left"/>
            </w:pPr>
            <w:r>
              <w:rPr>
                <w:rFonts w:ascii="Calibri" w:hAnsi="Calibri"/>
                <w:b w:val="0"/>
                <w:i w:val="0"/>
                <w:color w:val="111827"/>
                <w:sz w:val="17"/>
              </w:rPr>
              <w:t>Zarr, CSV, JSON ve model dosyaları</w:t>
            </w:r>
          </w:p>
        </w:tc>
        <w:tc>
          <w:tcPr>
            <w:tcW w:type="dxa" w:w="2088"/>
          </w:tcPr>
          <w:p>
            <w:pPr>
              <w:spacing w:after="0"/>
              <w:jc w:val="left"/>
            </w:pPr>
            <w:r>
              <w:rPr>
                <w:rFonts w:ascii="Calibri" w:hAnsi="Calibri"/>
                <w:b w:val="0"/>
                <w:i w:val="0"/>
                <w:color w:val="111827"/>
                <w:sz w:val="17"/>
              </w:rPr>
              <w:t>Dosya yolları</w:t>
            </w:r>
          </w:p>
        </w:tc>
        <w:tc>
          <w:tcPr>
            <w:tcW w:type="dxa" w:w="2563"/>
          </w:tcPr>
          <w:p>
            <w:pPr>
              <w:spacing w:after="0"/>
              <w:jc w:val="left"/>
            </w:pPr>
            <w:r>
              <w:rPr>
                <w:rFonts w:ascii="Calibri" w:hAnsi="Calibri"/>
                <w:b w:val="0"/>
                <w:i w:val="0"/>
                <w:color w:val="111827"/>
                <w:sz w:val="17"/>
              </w:rPr>
              <w:t>Sürümleme, checksum zorunluluğu, retention ve backup politikası yok</w:t>
            </w:r>
          </w:p>
        </w:tc>
      </w:tr>
    </w:tbl>
    <w:p>
      <w:pPr>
        <w:spacing w:after="20"/>
      </w:pPr>
    </w:p>
    <w:p>
      <w:pPr>
        <w:pStyle w:val="Heading2"/>
        <w:keepNext/>
      </w:pPr>
      <w:r>
        <w:t>2.2 Risks in the current architecture</w:t>
      </w:r>
    </w:p>
    <w:p>
      <w:pPr>
        <w:pStyle w:val="ListBullet"/>
        <w:widowControl/>
        <w:spacing w:after="60"/>
      </w:pPr>
      <w:r>
        <w:rPr>
          <w:rFonts w:ascii="Calibri" w:hAnsi="Calibri"/>
          <w:b w:val="0"/>
          <w:i w:val="0"/>
          <w:color w:val="111827"/>
          <w:sz w:val="20"/>
        </w:rPr>
        <w:t>Web süreci büyük Zarr dosyalarını isteğin yaşam süresinde açtığı için yavaş veya bozuk dosya tüm HTTP yanıtını etkiler; iş izolasyonu ve backpressure yoktur.</w:t>
      </w:r>
    </w:p>
    <w:p>
      <w:pPr>
        <w:pStyle w:val="ListBullet"/>
        <w:widowControl/>
        <w:spacing w:after="60"/>
      </w:pPr>
      <w:r>
        <w:rPr>
          <w:rFonts w:ascii="Calibri" w:hAnsi="Calibri"/>
          <w:b w:val="0"/>
          <w:i w:val="0"/>
          <w:color w:val="111827"/>
          <w:sz w:val="20"/>
        </w:rPr>
        <w:t>Model ve veri kökeni dosya adlarına dağılmıştır. Aynı çıktı hangi manifest, konfigürasyon ve kod sürümüyle üretildi sorusu merkezi olarak cevaplanamaz.</w:t>
      </w:r>
    </w:p>
    <w:p>
      <w:pPr>
        <w:pStyle w:val="ListBullet"/>
        <w:widowControl/>
        <w:spacing w:after="60"/>
      </w:pPr>
      <w:r>
        <w:rPr>
          <w:rFonts w:ascii="Calibri" w:hAnsi="Calibri"/>
          <w:b w:val="0"/>
          <w:i w:val="0"/>
          <w:color w:val="111827"/>
          <w:sz w:val="20"/>
        </w:rPr>
        <w:t>Dosya sistemi hem sistem kaydı hem artifact deposu gibi kullanılır; atomik proje durumu, erişim yetkisi, kullanım kotası ve saklama süresi uygulanamaz.</w:t>
      </w:r>
    </w:p>
    <w:p>
      <w:pPr>
        <w:pStyle w:val="ListBullet"/>
        <w:widowControl/>
        <w:spacing w:after="60"/>
      </w:pPr>
      <w:r>
        <w:rPr>
          <w:rFonts w:ascii="Calibri" w:hAnsi="Calibri"/>
          <w:b w:val="0"/>
          <w:i w:val="0"/>
          <w:color w:val="111827"/>
          <w:sz w:val="20"/>
        </w:rPr>
        <w:t>Dış sağlayıcı hataları, GPU OOM, disk dolması ve kısmi çıktı için tutarlı retry, cleanup veya resume politikası bulunmaz.</w:t>
      </w:r>
    </w:p>
    <w:p>
      <w:pPr>
        <w:pStyle w:val="ListBullet"/>
        <w:widowControl/>
        <w:spacing w:after="60"/>
      </w:pPr>
      <w:r>
        <w:rPr>
          <w:rFonts w:ascii="Calibri" w:hAnsi="Calibri"/>
          <w:b w:val="0"/>
          <w:i w:val="0"/>
          <w:color w:val="111827"/>
          <w:sz w:val="20"/>
        </w:rPr>
        <w:t>CORS genel olarak açıktır; AuthN/AuthZ, TLS sonlandırma, secrets yönetimi, audit logging ve güvenlik başlıkları hedef dağıtıma bırakılmıştır.</w:t>
      </w:r>
    </w:p>
    <w:p>
      <w:pPr>
        <w:pStyle w:val="ListBullet"/>
        <w:widowControl/>
        <w:spacing w:after="60"/>
      </w:pPr>
      <w:r>
        <w:rPr>
          <w:rFonts w:ascii="Calibri" w:hAnsi="Calibri"/>
          <w:b w:val="0"/>
          <w:i w:val="0"/>
          <w:color w:val="111827"/>
          <w:sz w:val="20"/>
        </w:rPr>
        <w:t>Mevcut UI gerçek etiket görüntüler; üretilen model tahmini, belirsizlik, baseline ve karar destek uyarısı uçtan uca sunulmaz.</w:t>
      </w:r>
    </w:p>
    <w:p>
      <w:pPr>
        <w:widowControl/>
        <w:jc w:val="both"/>
      </w:pPr>
      <w:r>
        <w:rPr>
          <w:rFonts w:ascii="Calibri" w:hAnsi="Calibri"/>
          <w:b w:val="0"/>
          <w:i w:val="0"/>
          <w:color w:val="111827"/>
          <w:sz w:val="20"/>
        </w:rPr>
        <w:t>Bu eksikler prototipin yanlış olduğu anlamına gelmez. Mevcut yapı veri biçimini, eğitim hattını ve temel görselleştirmeyi doğrulayan bir keşif mimarisidir. Önerilen tasarım bu kodu çöpe atmaz: veri hazırlama, model, loss, metric ve önizleme sorumluluklarını worker bileşenlerine taşır; Flask sunum katmanını ise kimlikli API ve orkestrasyon sınırı içinde yeniden konumlandırır.</w:t>
      </w:r>
    </w:p>
    <w:p>
      <w:pPr>
        <w:pStyle w:val="Heading1"/>
        <w:keepNext/>
      </w:pPr>
      <w:r>
        <w:t>3. Proposed software architecture</w:t>
      </w:r>
    </w:p>
    <w:p>
      <w:pPr>
        <w:pStyle w:val="Heading2"/>
        <w:keepNext/>
      </w:pPr>
      <w:r>
        <w:t>3.1 Overview</w:t>
      </w:r>
    </w:p>
    <w:p>
      <w:pPr>
        <w:widowControl/>
        <w:jc w:val="both"/>
      </w:pPr>
      <w:r>
        <w:rPr>
          <w:rFonts w:ascii="Calibri" w:hAnsi="Calibri"/>
          <w:b w:val="0"/>
          <w:i w:val="0"/>
          <w:color w:val="111827"/>
          <w:sz w:val="20"/>
        </w:rPr>
        <w:t>Önerilen sistem üç mantıksal düzleme ayrılır. Web ve kontrol düzlemi kullanıcı etkileşimi, kişiyi tanımlamayan erişim kapsamı, proje/iş yaşam döngüsü, politika ve sonuç paketlemesini yürütür. İşleme düzlemi ana Sentinel veri edinimi, ön işleme, segmentasyon, alan metriği, zorunlu LSTM tahmini ve değerlendirmeyi CPU/GPU worker süreçlerinde çalıştırır; GHSL/GISD30 karşılaştırması ayrı bir bileşen ve sonuç alanıdır. Veri düzlemi ilişkisel metadata ve geometriyi PostgreSQL/PostGIS'te, büyük ikili artifactleri S3 uyumlu nesne deposunda, geçici kuyruk ve kısa ömürlü cache bilgisini Redis'te tutar. Bu ayrım tek dağıtımda modüler monolit sadeliğini korurken uzun işlerin HTTP sürecini bloke etmesini önler. Queue ve retry davranışı Redis ile Celery'nin sürümlü dokümantasyonuna göre sınırlandırılır [16], [17].</w:t>
      </w:r>
    </w:p>
    <w:p>
      <w:pPr>
        <w:widowControl/>
        <w:jc w:val="both"/>
      </w:pPr>
      <w:r>
        <w:rPr>
          <w:rFonts w:ascii="Calibri" w:hAnsi="Calibri"/>
          <w:b w:val="0"/>
          <w:i w:val="0"/>
          <w:color w:val="111827"/>
          <w:sz w:val="20"/>
        </w:rPr>
        <w:t>Sistem kaydı (system of record) PostgreSQL'dir. Bir işin oluşturulduğu, hangi girdileri kullandığı, hangi aşamada olduğu ve hangi artifactleri ürettiği veritabanında transaction ile kaydedilir. Redis yalnız teslimat mekanizmasıdır; mesaj kaybı kalıcı iş kaybına dönüşmez. Raster, Zarr, checkpoint ve rapor gibi büyük nesneler veritabanı içine blob olarak yazılmaz. Her nesnenin URI, boyut, medya türü, SHA-256 sağlama toplamı, üretici iş ve saklama politikası metadata olarak tutulur [16], [18], [19].</w:t>
      </w:r>
    </w:p>
    <w:tbl>
      <w:tblPr>
        <w:tblStyle w:val="TableGrid"/>
        <w:jc w:val="left"/>
        <w:tblLook w:firstColumn="1" w:firstRow="1" w:lastColumn="0" w:lastRow="0" w:noHBand="0" w:noVBand="1" w:val="04A0"/>
        <w:tblW w:w="9475" w:type="dxa"/>
        <w:tblInd w:w="120" w:type="dxa"/>
        <w:tblLayout w:type="fixed"/>
      </w:tblPr>
      <w:tblGrid>
        <w:gridCol w:w="9475"/>
      </w:tblGrid>
      <w:tr>
        <w:tc>
          <w:tcPr>
            <w:tcW w:type="dxa" w:w="9475"/>
            <w:tcMar>
              <w:top w:w="72" w:type="dxa"/>
              <w:start w:w="110" w:type="dxa"/>
              <w:bottom w:w="72" w:type="dxa"/>
              <w:end w:w="110" w:type="dxa"/>
            </w:tcMar>
            <w:vAlign w:val="center"/>
            <w:shd w:fill="F4F7FB"/>
          </w:tcPr>
          <w:p>
            <w:pPr>
              <w:spacing w:after="0"/>
            </w:pPr>
            <w:r>
              <w:rPr>
                <w:rFonts w:ascii="Calibri" w:hAnsi="Calibri"/>
                <w:b/>
                <w:i w:val="0"/>
                <w:color w:val="0C2854"/>
                <w:sz w:val="20"/>
              </w:rPr>
              <w:t xml:space="preserve">Mimari stil: </w:t>
            </w:r>
            <w:r>
              <w:rPr>
                <w:rFonts w:ascii="Calibri" w:hAnsi="Calibri"/>
                <w:b w:val="0"/>
                <w:i w:val="0"/>
                <w:color w:val="111827"/>
                <w:sz w:val="20"/>
              </w:rPr>
              <w:t>Modüler monolit + durable job state + asenkron workers. Mikroservis sınırları şimdiden bileşen sözleşmeleriyle belirlenir, ancak bağımsız dağıtım ancak gerçek ölçek, ekip veya güvenlik ihtiyacı kanıtlandığında yapılır.</w:t>
            </w:r>
          </w:p>
        </w:tc>
      </w:tr>
    </w:tbl>
    <w:p>
      <w:pPr>
        <w:spacing w:after="20"/>
      </w:pPr>
    </w:p>
    <w:p>
      <w:pPr>
        <w:keepNext/>
        <w:jc w:val="center"/>
      </w:pPr>
      <w:r>
        <w:drawing>
          <wp:inline xmlns:a="http://schemas.openxmlformats.org/drawingml/2006/main" xmlns:pic="http://schemas.openxmlformats.org/drawingml/2006/picture">
            <wp:extent cx="5623560" cy="4117249"/>
            <wp:docPr id="3" name="Picture 3"/>
            <wp:cNvGraphicFramePr>
              <a:graphicFrameLocks noChangeAspect="1"/>
            </wp:cNvGraphicFramePr>
            <a:graphic>
              <a:graphicData uri="http://schemas.openxmlformats.org/drawingml/2006/picture">
                <pic:pic>
                  <pic:nvPicPr>
                    <pic:cNvPr id="0" name="component_diagram.png"/>
                    <pic:cNvPicPr/>
                  </pic:nvPicPr>
                  <pic:blipFill>
                    <a:blip r:embed="rId13"/>
                    <a:stretch>
                      <a:fillRect/>
                    </a:stretch>
                  </pic:blipFill>
                  <pic:spPr>
                    <a:xfrm>
                      <a:off x="0" y="0"/>
                      <a:ext cx="5623560" cy="4117249"/>
                    </a:xfrm>
                    <a:prstGeom prst="rect"/>
                  </pic:spPr>
                </pic:pic>
              </a:graphicData>
            </a:graphic>
          </wp:inline>
        </w:drawing>
      </w:r>
    </w:p>
    <w:p>
      <w:pPr>
        <w:pStyle w:val="Caption"/>
        <w:spacing w:before="40" w:after="160"/>
        <w:jc w:val="center"/>
      </w:pPr>
      <w:r>
        <w:t>Şekil 2. Önerilen UML bileşen diyagramı ve temel bağımlılıklar.</w:t>
      </w:r>
    </w:p>
    <w:p>
      <w:pPr>
        <w:pStyle w:val="Heading3"/>
        <w:keepNext/>
      </w:pPr>
      <w:r>
        <w:t>3.1.1 Architectural decisions</w:t>
      </w:r>
    </w:p>
    <w:tbl>
      <w:tblPr>
        <w:tblStyle w:val="TableGrid"/>
        <w:jc w:val="left"/>
        <w:tblLook w:firstColumn="1" w:firstRow="1" w:lastColumn="0" w:lastRow="0" w:noHBand="0" w:noVBand="1" w:val="04A0"/>
        <w:tblW w:w="9475" w:type="dxa"/>
        <w:tblInd w:w="120" w:type="dxa"/>
        <w:tblLayout w:type="fixed"/>
      </w:tblPr>
      <w:tblGrid>
        <w:gridCol w:w="936"/>
        <w:gridCol w:w="2232"/>
        <w:gridCol w:w="2476"/>
        <w:gridCol w:w="3830"/>
      </w:tblGrid>
      <w:tr>
        <w:trPr>
          <w:tblHeader w:val="true"/>
        </w:trPr>
        <w:tc>
          <w:tcPr>
            <w:tcW w:type="dxa" w:w="936"/>
            <w:tcMar>
              <w:top w:w="72" w:type="dxa"/>
              <w:start w:w="110" w:type="dxa"/>
              <w:bottom w:w="72" w:type="dxa"/>
              <w:end w:w="110" w:type="dxa"/>
            </w:tcMar>
            <w:vAlign w:val="center"/>
            <w:shd w:fill="0C2854"/>
          </w:tcPr>
          <w:p>
            <w:pPr>
              <w:spacing w:after="0"/>
              <w:jc w:val="center"/>
            </w:pPr>
            <w:r>
              <w:rPr>
                <w:rFonts w:ascii="Calibri" w:hAnsi="Calibri"/>
                <w:b/>
                <w:i w:val="0"/>
                <w:color w:val="FFFFFF"/>
                <w:sz w:val="17"/>
              </w:rPr>
              <w:t>Karar</w:t>
            </w:r>
          </w:p>
        </w:tc>
        <w:tc>
          <w:tcPr>
            <w:tcW w:type="dxa" w:w="2232"/>
            <w:tcMar>
              <w:top w:w="72" w:type="dxa"/>
              <w:start w:w="110" w:type="dxa"/>
              <w:bottom w:w="72" w:type="dxa"/>
              <w:end w:w="110" w:type="dxa"/>
            </w:tcMar>
            <w:vAlign w:val="center"/>
            <w:shd w:fill="0C2854"/>
          </w:tcPr>
          <w:p>
            <w:pPr>
              <w:spacing w:after="0"/>
              <w:jc w:val="center"/>
            </w:pPr>
            <w:r>
              <w:rPr>
                <w:rFonts w:ascii="Calibri" w:hAnsi="Calibri"/>
                <w:b/>
                <w:i w:val="0"/>
                <w:color w:val="FFFFFF"/>
                <w:sz w:val="17"/>
              </w:rPr>
              <w:t>Seçim</w:t>
            </w:r>
          </w:p>
        </w:tc>
        <w:tc>
          <w:tcPr>
            <w:tcW w:type="dxa" w:w="2476"/>
            <w:tcMar>
              <w:top w:w="72" w:type="dxa"/>
              <w:start w:w="110" w:type="dxa"/>
              <w:bottom w:w="72" w:type="dxa"/>
              <w:end w:w="110" w:type="dxa"/>
            </w:tcMar>
            <w:vAlign w:val="center"/>
            <w:shd w:fill="0C2854"/>
          </w:tcPr>
          <w:p>
            <w:pPr>
              <w:spacing w:after="0"/>
              <w:jc w:val="center"/>
            </w:pPr>
            <w:r>
              <w:rPr>
                <w:rFonts w:ascii="Calibri" w:hAnsi="Calibri"/>
                <w:b/>
                <w:i w:val="0"/>
                <w:color w:val="FFFFFF"/>
                <w:sz w:val="17"/>
              </w:rPr>
              <w:t>Reddedilen alternatif</w:t>
            </w:r>
          </w:p>
        </w:tc>
        <w:tc>
          <w:tcPr>
            <w:tcW w:type="dxa" w:w="3830"/>
            <w:tcMar>
              <w:top w:w="72" w:type="dxa"/>
              <w:start w:w="110" w:type="dxa"/>
              <w:bottom w:w="72" w:type="dxa"/>
              <w:end w:w="110" w:type="dxa"/>
            </w:tcMar>
            <w:vAlign w:val="center"/>
            <w:shd w:fill="0C2854"/>
          </w:tcPr>
          <w:p>
            <w:pPr>
              <w:spacing w:after="0"/>
              <w:jc w:val="center"/>
            </w:pPr>
            <w:r>
              <w:rPr>
                <w:rFonts w:ascii="Calibri" w:hAnsi="Calibri"/>
                <w:b/>
                <w:i w:val="0"/>
                <w:color w:val="FFFFFF"/>
                <w:sz w:val="17"/>
              </w:rPr>
              <w:t>Gerekçe / sonuç</w:t>
            </w:r>
          </w:p>
        </w:tc>
      </w:tr>
      <w:tr>
        <w:tc>
          <w:tcPr>
            <w:tcW w:type="dxa" w:w="936"/>
          </w:tcPr>
          <w:p>
            <w:pPr>
              <w:spacing w:after="0"/>
              <w:jc w:val="left"/>
            </w:pPr>
            <w:r>
              <w:rPr>
                <w:rFonts w:ascii="Calibri" w:hAnsi="Calibri"/>
                <w:b/>
                <w:i w:val="0"/>
                <w:color w:val="111827"/>
                <w:sz w:val="17"/>
              </w:rPr>
              <w:t>AD-01</w:t>
            </w:r>
          </w:p>
        </w:tc>
        <w:tc>
          <w:tcPr>
            <w:tcW w:type="dxa" w:w="2232"/>
          </w:tcPr>
          <w:p>
            <w:pPr>
              <w:spacing w:after="0"/>
              <w:jc w:val="left"/>
            </w:pPr>
            <w:r>
              <w:rPr>
                <w:rFonts w:ascii="Calibri" w:hAnsi="Calibri"/>
                <w:b w:val="0"/>
                <w:i w:val="0"/>
                <w:color w:val="111827"/>
                <w:sz w:val="17"/>
              </w:rPr>
              <w:t>Modüler monolit + workers</w:t>
            </w:r>
          </w:p>
        </w:tc>
        <w:tc>
          <w:tcPr>
            <w:tcW w:type="dxa" w:w="2476"/>
          </w:tcPr>
          <w:p>
            <w:pPr>
              <w:spacing w:after="0"/>
              <w:jc w:val="left"/>
            </w:pPr>
            <w:r>
              <w:rPr>
                <w:rFonts w:ascii="Calibri" w:hAnsi="Calibri"/>
                <w:b w:val="0"/>
                <w:i w:val="0"/>
                <w:color w:val="111827"/>
                <w:sz w:val="17"/>
              </w:rPr>
              <w:t>Başlangıçtan mikroservis</w:t>
            </w:r>
          </w:p>
        </w:tc>
        <w:tc>
          <w:tcPr>
            <w:tcW w:type="dxa" w:w="3830"/>
          </w:tcPr>
          <w:p>
            <w:pPr>
              <w:spacing w:after="0"/>
              <w:jc w:val="left"/>
            </w:pPr>
            <w:r>
              <w:rPr>
                <w:rFonts w:ascii="Calibri" w:hAnsi="Calibri"/>
                <w:b w:val="0"/>
                <w:i w:val="0"/>
                <w:color w:val="111827"/>
                <w:sz w:val="17"/>
              </w:rPr>
              <w:t>Daha az dağıtık karmaşıklık; işlem ve GPU izolasyonu korunur.</w:t>
            </w:r>
          </w:p>
        </w:tc>
      </w:tr>
      <w:tr>
        <w:tc>
          <w:tcPr>
            <w:tcW w:type="dxa" w:w="936"/>
            <w:shd w:fill="F4F7FB"/>
          </w:tcPr>
          <w:p>
            <w:pPr>
              <w:spacing w:after="0"/>
              <w:jc w:val="left"/>
            </w:pPr>
            <w:r>
              <w:rPr>
                <w:rFonts w:ascii="Calibri" w:hAnsi="Calibri"/>
                <w:b/>
                <w:i w:val="0"/>
                <w:color w:val="111827"/>
                <w:sz w:val="17"/>
              </w:rPr>
              <w:t>AD-02</w:t>
            </w:r>
          </w:p>
        </w:tc>
        <w:tc>
          <w:tcPr>
            <w:tcW w:type="dxa" w:w="2232"/>
            <w:shd w:fill="F4F7FB"/>
          </w:tcPr>
          <w:p>
            <w:pPr>
              <w:spacing w:after="0"/>
              <w:jc w:val="left"/>
            </w:pPr>
            <w:r>
              <w:rPr>
                <w:rFonts w:ascii="Calibri" w:hAnsi="Calibri"/>
                <w:b w:val="0"/>
                <w:i w:val="0"/>
                <w:color w:val="111827"/>
                <w:sz w:val="17"/>
              </w:rPr>
              <w:t>PostgreSQL + PostGIS</w:t>
            </w:r>
          </w:p>
        </w:tc>
        <w:tc>
          <w:tcPr>
            <w:tcW w:type="dxa" w:w="2476"/>
            <w:shd w:fill="F4F7FB"/>
          </w:tcPr>
          <w:p>
            <w:pPr>
              <w:spacing w:after="0"/>
              <w:jc w:val="left"/>
            </w:pPr>
            <w:r>
              <w:rPr>
                <w:rFonts w:ascii="Calibri" w:hAnsi="Calibri"/>
                <w:b w:val="0"/>
                <w:i w:val="0"/>
                <w:color w:val="111827"/>
                <w:sz w:val="17"/>
              </w:rPr>
              <w:t>Yalnız SQLite veya document DB</w:t>
            </w:r>
          </w:p>
        </w:tc>
        <w:tc>
          <w:tcPr>
            <w:tcW w:type="dxa" w:w="3830"/>
            <w:shd w:fill="F4F7FB"/>
          </w:tcPr>
          <w:p>
            <w:pPr>
              <w:spacing w:after="0"/>
              <w:jc w:val="left"/>
            </w:pPr>
            <w:r>
              <w:rPr>
                <w:rFonts w:ascii="Calibri" w:hAnsi="Calibri"/>
                <w:b w:val="0"/>
                <w:i w:val="0"/>
                <w:color w:val="111827"/>
                <w:sz w:val="17"/>
              </w:rPr>
              <w:t>ACID, ilişkisel join, mekânsal indeks ve olgun backup/PITR.</w:t>
            </w:r>
          </w:p>
        </w:tc>
      </w:tr>
      <w:tr>
        <w:tc>
          <w:tcPr>
            <w:tcW w:type="dxa" w:w="936"/>
          </w:tcPr>
          <w:p>
            <w:pPr>
              <w:spacing w:after="0"/>
              <w:jc w:val="left"/>
            </w:pPr>
            <w:r>
              <w:rPr>
                <w:rFonts w:ascii="Calibri" w:hAnsi="Calibri"/>
                <w:b/>
                <w:i w:val="0"/>
                <w:color w:val="111827"/>
                <w:sz w:val="17"/>
              </w:rPr>
              <w:t>AD-03</w:t>
            </w:r>
          </w:p>
        </w:tc>
        <w:tc>
          <w:tcPr>
            <w:tcW w:type="dxa" w:w="2232"/>
          </w:tcPr>
          <w:p>
            <w:pPr>
              <w:spacing w:after="0"/>
              <w:jc w:val="left"/>
            </w:pPr>
            <w:r>
              <w:rPr>
                <w:rFonts w:ascii="Calibri" w:hAnsi="Calibri"/>
                <w:b w:val="0"/>
                <w:i w:val="0"/>
                <w:color w:val="111827"/>
                <w:sz w:val="17"/>
              </w:rPr>
              <w:t>Object storage</w:t>
            </w:r>
          </w:p>
        </w:tc>
        <w:tc>
          <w:tcPr>
            <w:tcW w:type="dxa" w:w="2476"/>
          </w:tcPr>
          <w:p>
            <w:pPr>
              <w:spacing w:after="0"/>
              <w:jc w:val="left"/>
            </w:pPr>
            <w:r>
              <w:rPr>
                <w:rFonts w:ascii="Calibri" w:hAnsi="Calibri"/>
                <w:b w:val="0"/>
                <w:i w:val="0"/>
                <w:color w:val="111827"/>
                <w:sz w:val="17"/>
              </w:rPr>
              <w:t>Raster/checkpoint'i DB BLOB</w:t>
            </w:r>
          </w:p>
        </w:tc>
        <w:tc>
          <w:tcPr>
            <w:tcW w:type="dxa" w:w="3830"/>
          </w:tcPr>
          <w:p>
            <w:pPr>
              <w:spacing w:after="0"/>
              <w:jc w:val="left"/>
            </w:pPr>
            <w:r>
              <w:rPr>
                <w:rFonts w:ascii="Calibri" w:hAnsi="Calibri"/>
                <w:b w:val="0"/>
                <w:i w:val="0"/>
                <w:color w:val="111827"/>
                <w:sz w:val="17"/>
              </w:rPr>
              <w:t>Büyük ve değişmez artifactlerde ucuz ölçek, checksum ve yaşam döngüsü.</w:t>
            </w:r>
          </w:p>
        </w:tc>
      </w:tr>
      <w:tr>
        <w:tc>
          <w:tcPr>
            <w:tcW w:type="dxa" w:w="936"/>
            <w:shd w:fill="F4F7FB"/>
          </w:tcPr>
          <w:p>
            <w:pPr>
              <w:spacing w:after="0"/>
              <w:jc w:val="left"/>
            </w:pPr>
            <w:r>
              <w:rPr>
                <w:rFonts w:ascii="Calibri" w:hAnsi="Calibri"/>
                <w:b/>
                <w:i w:val="0"/>
                <w:color w:val="111827"/>
                <w:sz w:val="17"/>
              </w:rPr>
              <w:t>AD-04</w:t>
            </w:r>
          </w:p>
        </w:tc>
        <w:tc>
          <w:tcPr>
            <w:tcW w:type="dxa" w:w="2232"/>
            <w:shd w:fill="F4F7FB"/>
          </w:tcPr>
          <w:p>
            <w:pPr>
              <w:spacing w:after="0"/>
              <w:jc w:val="left"/>
            </w:pPr>
            <w:r>
              <w:rPr>
                <w:rFonts w:ascii="Calibri" w:hAnsi="Calibri"/>
                <w:b w:val="0"/>
                <w:i w:val="0"/>
                <w:color w:val="111827"/>
                <w:sz w:val="17"/>
              </w:rPr>
              <w:t>Redis tabanlı queue</w:t>
            </w:r>
          </w:p>
        </w:tc>
        <w:tc>
          <w:tcPr>
            <w:tcW w:type="dxa" w:w="2476"/>
            <w:shd w:fill="F4F7FB"/>
          </w:tcPr>
          <w:p>
            <w:pPr>
              <w:spacing w:after="0"/>
              <w:jc w:val="left"/>
            </w:pPr>
            <w:r>
              <w:rPr>
                <w:rFonts w:ascii="Calibri" w:hAnsi="Calibri"/>
                <w:b w:val="0"/>
                <w:i w:val="0"/>
                <w:color w:val="111827"/>
                <w:sz w:val="17"/>
              </w:rPr>
              <w:t>HTTP içinde uzun iş</w:t>
            </w:r>
          </w:p>
        </w:tc>
        <w:tc>
          <w:tcPr>
            <w:tcW w:type="dxa" w:w="3830"/>
            <w:shd w:fill="F4F7FB"/>
          </w:tcPr>
          <w:p>
            <w:pPr>
              <w:spacing w:after="0"/>
              <w:jc w:val="left"/>
            </w:pPr>
            <w:r>
              <w:rPr>
                <w:rFonts w:ascii="Calibri" w:hAnsi="Calibri"/>
                <w:b w:val="0"/>
                <w:i w:val="0"/>
                <w:color w:val="111827"/>
                <w:sz w:val="17"/>
              </w:rPr>
              <w:t>Backpressure, retry, worker ölçekleme ve kullanıcıya 202/job-id yanıtı.</w:t>
            </w:r>
          </w:p>
        </w:tc>
      </w:tr>
      <w:tr>
        <w:tc>
          <w:tcPr>
            <w:tcW w:type="dxa" w:w="936"/>
          </w:tcPr>
          <w:p>
            <w:pPr>
              <w:spacing w:after="0"/>
              <w:jc w:val="left"/>
            </w:pPr>
            <w:r>
              <w:rPr>
                <w:rFonts w:ascii="Calibri" w:hAnsi="Calibri"/>
                <w:b/>
                <w:i w:val="0"/>
                <w:color w:val="111827"/>
                <w:sz w:val="17"/>
              </w:rPr>
              <w:t>AD-05</w:t>
            </w:r>
          </w:p>
        </w:tc>
        <w:tc>
          <w:tcPr>
            <w:tcW w:type="dxa" w:w="2232"/>
          </w:tcPr>
          <w:p>
            <w:pPr>
              <w:spacing w:after="0"/>
              <w:jc w:val="left"/>
            </w:pPr>
            <w:r>
              <w:rPr>
                <w:rFonts w:ascii="Calibri" w:hAnsi="Calibri"/>
                <w:b w:val="0"/>
                <w:i w:val="0"/>
                <w:color w:val="111827"/>
                <w:sz w:val="17"/>
              </w:rPr>
              <w:t>Host/kampüs erişim kapısı + capability</w:t>
            </w:r>
          </w:p>
        </w:tc>
        <w:tc>
          <w:tcPr>
            <w:tcW w:type="dxa" w:w="2476"/>
          </w:tcPr>
          <w:p>
            <w:pPr>
              <w:spacing w:after="0"/>
              <w:jc w:val="left"/>
            </w:pPr>
            <w:r>
              <w:rPr>
                <w:rFonts w:ascii="Calibri" w:hAnsi="Calibri"/>
                <w:b w:val="0"/>
                <w:i w:val="0"/>
                <w:color w:val="111827"/>
                <w:sz w:val="17"/>
              </w:rPr>
              <w:t>Uygulama içi hesap veya kalıcı OIDC subject</w:t>
            </w:r>
          </w:p>
        </w:tc>
        <w:tc>
          <w:tcPr>
            <w:tcW w:type="dxa" w:w="3830"/>
          </w:tcPr>
          <w:p>
            <w:pPr>
              <w:spacing w:after="0"/>
              <w:jc w:val="left"/>
            </w:pPr>
            <w:r>
              <w:rPr>
                <w:rFonts w:ascii="Calibri" w:hAnsi="Calibri"/>
                <w:b w:val="0"/>
                <w:i w:val="0"/>
                <w:color w:val="111827"/>
                <w:sz w:val="17"/>
              </w:rPr>
              <w:t>MVP kişisel veri tutmaz; proje/job kapsamı kısa ömürlü yetki ve servis kimliğiyle uygulanır.</w:t>
            </w:r>
          </w:p>
        </w:tc>
      </w:tr>
      <w:tr>
        <w:tc>
          <w:tcPr>
            <w:tcW w:type="dxa" w:w="936"/>
            <w:shd w:fill="F4F7FB"/>
          </w:tcPr>
          <w:p>
            <w:pPr>
              <w:spacing w:after="0"/>
              <w:jc w:val="left"/>
            </w:pPr>
            <w:r>
              <w:rPr>
                <w:rFonts w:ascii="Calibri" w:hAnsi="Calibri"/>
                <w:b/>
                <w:i w:val="0"/>
                <w:color w:val="111827"/>
                <w:sz w:val="17"/>
              </w:rPr>
              <w:t>AD-06</w:t>
            </w:r>
          </w:p>
        </w:tc>
        <w:tc>
          <w:tcPr>
            <w:tcW w:type="dxa" w:w="2232"/>
            <w:shd w:fill="F4F7FB"/>
          </w:tcPr>
          <w:p>
            <w:pPr>
              <w:spacing w:after="0"/>
              <w:jc w:val="left"/>
            </w:pPr>
            <w:r>
              <w:rPr>
                <w:rFonts w:ascii="Calibri" w:hAnsi="Calibri"/>
                <w:b w:val="0"/>
                <w:i w:val="0"/>
                <w:color w:val="111827"/>
                <w:sz w:val="17"/>
              </w:rPr>
              <w:t>Konteynerli tek-host temel</w:t>
            </w:r>
          </w:p>
        </w:tc>
        <w:tc>
          <w:tcPr>
            <w:tcW w:type="dxa" w:w="2476"/>
            <w:shd w:fill="F4F7FB"/>
          </w:tcPr>
          <w:p>
            <w:pPr>
              <w:spacing w:after="0"/>
              <w:jc w:val="left"/>
            </w:pPr>
            <w:r>
              <w:rPr>
                <w:rFonts w:ascii="Calibri" w:hAnsi="Calibri"/>
                <w:b w:val="0"/>
                <w:i w:val="0"/>
                <w:color w:val="111827"/>
                <w:sz w:val="17"/>
              </w:rPr>
              <w:t>İlk günden Kubernetes</w:t>
            </w:r>
          </w:p>
        </w:tc>
        <w:tc>
          <w:tcPr>
            <w:tcW w:type="dxa" w:w="3830"/>
            <w:shd w:fill="F4F7FB"/>
          </w:tcPr>
          <w:p>
            <w:pPr>
              <w:spacing w:after="0"/>
              <w:jc w:val="left"/>
            </w:pPr>
            <w:r>
              <w:rPr>
                <w:rFonts w:ascii="Calibri" w:hAnsi="Calibri"/>
                <w:b w:val="0"/>
                <w:i w:val="0"/>
                <w:color w:val="111827"/>
                <w:sz w:val="17"/>
              </w:rPr>
              <w:t>Ders/MVP ölçeğinde basit işletim; imaj taşınabilirliği korunur.</w:t>
            </w:r>
          </w:p>
        </w:tc>
      </w:tr>
    </w:tbl>
    <w:p>
      <w:pPr>
        <w:spacing w:after="20"/>
      </w:pPr>
    </w:p>
    <w:p>
      <w:pPr>
        <w:pStyle w:val="Heading3"/>
        <w:keepNext/>
      </w:pPr>
      <w:r>
        <w:t>3.1.2 End-to-end data flow</w:t>
      </w:r>
    </w:p>
    <w:p>
      <w:pPr>
        <w:widowControl/>
        <w:spacing w:after="60"/>
        <w:ind w:left="346" w:hanging="288"/>
      </w:pPr>
      <w:r>
        <w:rPr>
          <w:rFonts w:ascii="Calibri" w:hAnsi="Calibri"/>
          <w:b/>
          <w:i w:val="0"/>
          <w:color w:val="111827"/>
          <w:sz w:val="20"/>
        </w:rPr>
        <w:t xml:space="preserve">1. </w:t>
      </w:r>
      <w:r>
        <w:rPr>
          <w:rFonts w:ascii="Calibri" w:hAnsi="Calibri"/>
          <w:b w:val="0"/>
          <w:i w:val="0"/>
          <w:color w:val="111827"/>
          <w:sz w:val="20"/>
        </w:rPr>
        <w:t>Teknik operatör host/kampüs ağı/reverse proxy erişim kapısından geçer, Ankara AOI/tarih aralığını ve iş türünü seçer. API kısa ömürlü capability kapsamını doğrular; kişisel kimlik kaydetmeden AnalysisProject ve JobRun kayıtlarını tek transaction içinde oluşturur.</w:t>
      </w:r>
    </w:p>
    <w:p>
      <w:pPr>
        <w:widowControl/>
        <w:spacing w:after="60"/>
        <w:ind w:left="346" w:hanging="288"/>
      </w:pPr>
      <w:r>
        <w:rPr>
          <w:rFonts w:ascii="Calibri" w:hAnsi="Calibri"/>
          <w:b/>
          <w:i w:val="0"/>
          <w:color w:val="111827"/>
          <w:sz w:val="20"/>
        </w:rPr>
        <w:t xml:space="preserve">2. </w:t>
      </w:r>
      <w:r>
        <w:rPr>
          <w:rFonts w:ascii="Calibri" w:hAnsi="Calibri"/>
          <w:b w:val="0"/>
          <w:i w:val="0"/>
          <w:color w:val="111827"/>
          <w:sz w:val="20"/>
        </w:rPr>
        <w:t>Orchestrator girdi sözleşmesini doğrular, idempotency anahtarını üretir ve işi kuyruğa bırakır. HTTP yanıtı iş kimliği ve durum adresiyle hemen döner.</w:t>
      </w:r>
    </w:p>
    <w:p>
      <w:pPr>
        <w:widowControl/>
        <w:spacing w:after="60"/>
        <w:ind w:left="346" w:hanging="288"/>
      </w:pPr>
      <w:r>
        <w:rPr>
          <w:rFonts w:ascii="Calibri" w:hAnsi="Calibri"/>
          <w:b/>
          <w:i w:val="0"/>
          <w:color w:val="111827"/>
          <w:sz w:val="20"/>
        </w:rPr>
        <w:t xml:space="preserve">3. </w:t>
      </w:r>
      <w:r>
        <w:rPr>
          <w:rFonts w:ascii="Calibri" w:hAnsi="Calibri"/>
          <w:b w:val="0"/>
          <w:i w:val="0"/>
          <w:color w:val="111827"/>
          <w:sz w:val="20"/>
        </w:rPr>
        <w:t>Primary Sentinel Acquisition adapter'ı GEE/Copernicus veya yerel manifest üzerinden yalnız ana Sentinel-2 sahnelerini listeler; lisans, provider, çekim tarihi, bulut oranı ve kaynak kimliğini kaydeder.</w:t>
      </w:r>
    </w:p>
    <w:p>
      <w:pPr>
        <w:widowControl/>
        <w:spacing w:after="60"/>
        <w:ind w:left="346" w:hanging="288"/>
      </w:pPr>
      <w:r>
        <w:rPr>
          <w:rFonts w:ascii="Calibri" w:hAnsi="Calibri"/>
          <w:b/>
          <w:i w:val="0"/>
          <w:color w:val="111827"/>
          <w:sz w:val="20"/>
        </w:rPr>
        <w:t xml:space="preserve">4. </w:t>
      </w:r>
      <w:r>
        <w:rPr>
          <w:rFonts w:ascii="Calibri" w:hAnsi="Calibri"/>
          <w:b w:val="0"/>
          <w:i w:val="0"/>
          <w:color w:val="111827"/>
          <w:sz w:val="20"/>
        </w:rPr>
        <w:t>Preprocessing worker bulut maskesi, 10 m hizalama, band seçimi ve mevsimsel kompozit üretir. Alan hesapları öncesinde geometri ve raster deterministik olarak Ankara AOI'sine uygun eş-alan CRS'ye dönüştürülür; kaynak CRS, analiz CRS, dönüşüm ve grid sürümü kaydedilir.</w:t>
      </w:r>
    </w:p>
    <w:p>
      <w:pPr>
        <w:widowControl/>
        <w:spacing w:after="60"/>
        <w:ind w:left="346" w:hanging="288"/>
      </w:pPr>
      <w:r>
        <w:rPr>
          <w:rFonts w:ascii="Calibri" w:hAnsi="Calibri"/>
          <w:b/>
          <w:i w:val="0"/>
          <w:color w:val="111827"/>
          <w:sz w:val="20"/>
        </w:rPr>
        <w:t xml:space="preserve">5. </w:t>
      </w:r>
      <w:r>
        <w:rPr>
          <w:rFonts w:ascii="Calibri" w:hAnsi="Calibri"/>
          <w:b w:val="0"/>
          <w:i w:val="0"/>
          <w:color w:val="111827"/>
          <w:sz w:val="20"/>
        </w:rPr>
        <w:t>Segmentation worker mevsime uygun model sürümünü seçer; dokuz sınıflı harita, sınıf olasılığı/güven özeti ve model-version bağlantısı üretir.</w:t>
      </w:r>
    </w:p>
    <w:p>
      <w:pPr>
        <w:widowControl/>
        <w:spacing w:after="60"/>
        <w:ind w:left="346" w:hanging="288"/>
      </w:pPr>
      <w:r>
        <w:rPr>
          <w:rFonts w:ascii="Calibri" w:hAnsi="Calibri"/>
          <w:b/>
          <w:i w:val="0"/>
          <w:color w:val="111827"/>
          <w:sz w:val="20"/>
        </w:rPr>
        <w:t xml:space="preserve">6. </w:t>
      </w:r>
      <w:r>
        <w:rPr>
          <w:rFonts w:ascii="Calibri" w:hAnsi="Calibri"/>
          <w:b w:val="0"/>
          <w:i w:val="0"/>
          <w:color w:val="111827"/>
          <w:sz w:val="20"/>
        </w:rPr>
        <w:t>Metrics bileşeni yeşil alanı Tree + Grass + Crops + Flooded Vegetation toplamı olarak hesaplar; yapılaşmış alanı ve green_area/built_up_area oranını açık birim/denominator ile kronolojik ana TimeSeriesDataset kaydına dönüştürür. Built-up sıfırsa oran tanımsız ve bayraklıdır.</w:t>
      </w:r>
    </w:p>
    <w:p>
      <w:pPr>
        <w:widowControl/>
        <w:spacing w:after="60"/>
        <w:ind w:left="346" w:hanging="288"/>
      </w:pPr>
      <w:r>
        <w:rPr>
          <w:rFonts w:ascii="Calibri" w:hAnsi="Calibri"/>
          <w:b/>
          <w:i w:val="0"/>
          <w:color w:val="111827"/>
          <w:sz w:val="20"/>
        </w:rPr>
        <w:t xml:space="preserve">7. </w:t>
      </w:r>
      <w:r>
        <w:rPr>
          <w:rFonts w:ascii="Calibri" w:hAnsi="Calibri"/>
          <w:b w:val="0"/>
          <w:i w:val="0"/>
          <w:color w:val="111827"/>
          <w:sz w:val="20"/>
        </w:rPr>
        <w:t>Forecasting bileşeni no-change, linear trend ve zorunlu LSTM'i aynı holdout penceresinde çalıştırır; 1/3/5 yıl ufukları, MAE/RMSE ve baseline iyileşmesini kaydeder. LSTM çalışmazsa ana koşu PUBLISHED olamaz; baseline çıktıları yalnız tanısal taslaktır.</w:t>
      </w:r>
    </w:p>
    <w:p>
      <w:pPr>
        <w:widowControl/>
        <w:spacing w:after="60"/>
        <w:ind w:left="346" w:hanging="288"/>
      </w:pPr>
      <w:r>
        <w:rPr>
          <w:rFonts w:ascii="Calibri" w:hAnsi="Calibri"/>
          <w:b/>
          <w:i w:val="0"/>
          <w:color w:val="111827"/>
          <w:sz w:val="20"/>
        </w:rPr>
        <w:t xml:space="preserve">8. </w:t>
      </w:r>
      <w:r>
        <w:rPr>
          <w:rFonts w:ascii="Calibri" w:hAnsi="Calibri"/>
          <w:b w:val="0"/>
          <w:i w:val="0"/>
          <w:color w:val="111827"/>
          <w:sz w:val="20"/>
        </w:rPr>
        <w:t>Historical Comparison bileşeni GHSL/GISD30 verisini ayrı ComparisonRun ve sonuç namespace'inde işler; bu veriler ana Sentinel TimeSeriesDataset veya ForecastRun girdisine hiçbir koşulda eklenmez, birleştirilmez ya da yeniden kalibre edilmez.</w:t>
      </w:r>
    </w:p>
    <w:p>
      <w:pPr>
        <w:widowControl/>
        <w:spacing w:after="60"/>
        <w:ind w:left="346" w:hanging="288"/>
      </w:pPr>
      <w:r>
        <w:rPr>
          <w:rFonts w:ascii="Calibri" w:hAnsi="Calibri"/>
          <w:b/>
          <w:i w:val="0"/>
          <w:color w:val="111827"/>
          <w:sz w:val="20"/>
        </w:rPr>
        <w:t xml:space="preserve">9. </w:t>
      </w:r>
      <w:r>
        <w:rPr>
          <w:rFonts w:ascii="Calibri" w:hAnsi="Calibri"/>
          <w:b w:val="0"/>
          <w:i w:val="0"/>
          <w:color w:val="111827"/>
          <w:sz w:val="20"/>
        </w:rPr>
        <w:t>Reporting bileşeni harita, grafik, tablo, provenance manifesti, bulut/eksik dönem bilgisi, hata analizi ve düşük performanslı sınıf örneklerini paketler. Kaynak/lisans bildirimleri ve 'resmi karar değildir' uyarısı eksikse PUBLISHED geçişi reddedilir.</w:t>
      </w:r>
    </w:p>
    <w:p>
      <w:pPr>
        <w:widowControl/>
        <w:jc w:val="both"/>
      </w:pPr>
      <w:r>
        <w:rPr>
          <w:rFonts w:ascii="Calibri" w:hAnsi="Calibri"/>
          <w:b w:val="0"/>
          <w:i w:val="0"/>
          <w:color w:val="111827"/>
          <w:sz w:val="20"/>
        </w:rPr>
        <w:t>Her aşama bir önceki aşamanın artifact URI'sını ve SHA-256 değerini girdi olarak alır. İşin tekrar çalıştırılması aynı girdileri değiştirmez; yeni model veya konfigürasyon yeni bir run ve yeni artifact sürümü oluşturur. Bu immutability yaklaşımı hem deney tekrarlanabilirliğini hem audit incelemesini kolaylaştırır.</w:t>
      </w:r>
    </w:p>
    <w:p>
      <w:pPr>
        <w:pStyle w:val="Heading2"/>
        <w:keepNext/>
      </w:pPr>
      <w:r>
        <w:t>3.2 Subsystem decomposition</w:t>
      </w:r>
    </w:p>
    <w:p>
      <w:pPr>
        <w:widowControl/>
        <w:jc w:val="both"/>
      </w:pPr>
      <w:r>
        <w:rPr>
          <w:rFonts w:ascii="Calibri" w:hAnsi="Calibri"/>
          <w:b w:val="0"/>
          <w:i w:val="0"/>
          <w:color w:val="111827"/>
          <w:sz w:val="20"/>
        </w:rPr>
        <w:t>Alt sistem sınırları veri sahipliği, hata alanı ve değişim nedeni temelinde çizilmiştir. UI yalnız sunum ve kullanıcı komutlarını; orchestrator yalnız durum/politika akışını; bilimsel workerlar yalnız deterministik veri/model dönüşümlerini üstlenir. Bir bileşenin doğrudan başka bileşenin veritabanı tablolarını değiştirmesi yasaktır; değişiklik orchestrator veya tanımlı repository sözleşmesi üzerinden yapılır.</w:t>
      </w:r>
    </w:p>
    <w:tbl>
      <w:tblPr>
        <w:tblStyle w:val="TableGrid"/>
        <w:jc w:val="left"/>
        <w:tblLook w:firstColumn="1" w:firstRow="1" w:lastColumn="0" w:lastRow="0" w:noHBand="0" w:noVBand="1" w:val="04A0"/>
        <w:tblW w:w="9475" w:type="dxa"/>
        <w:tblInd w:w="120" w:type="dxa"/>
        <w:tblLayout w:type="fixed"/>
      </w:tblPr>
      <w:tblGrid>
        <w:gridCol w:w="792"/>
        <w:gridCol w:w="1800"/>
        <w:gridCol w:w="2951"/>
        <w:gridCol w:w="1800"/>
        <w:gridCol w:w="2131"/>
      </w:tblGrid>
      <w:tr>
        <w:trPr>
          <w:tblHeader w:val="true"/>
        </w:trPr>
        <w:tc>
          <w:tcPr>
            <w:tcW w:type="dxa" w:w="792"/>
            <w:tcMar>
              <w:top w:w="72" w:type="dxa"/>
              <w:start w:w="110" w:type="dxa"/>
              <w:bottom w:w="72" w:type="dxa"/>
              <w:end w:w="110" w:type="dxa"/>
            </w:tcMar>
            <w:vAlign w:val="center"/>
            <w:shd w:fill="0C2854"/>
          </w:tcPr>
          <w:p>
            <w:pPr>
              <w:spacing w:after="0"/>
              <w:jc w:val="center"/>
            </w:pPr>
            <w:r>
              <w:rPr>
                <w:rFonts w:ascii="Calibri" w:hAnsi="Calibri"/>
                <w:b/>
                <w:i w:val="0"/>
                <w:color w:val="FFFFFF"/>
                <w:sz w:val="15"/>
              </w:rPr>
              <w:t>ID</w:t>
            </w:r>
          </w:p>
        </w:tc>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5"/>
              </w:rPr>
              <w:t>Alt sistem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5"/>
              </w:rPr>
              <w:t>Sorumluluk</w:t>
            </w:r>
          </w:p>
        </w:tc>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5"/>
              </w:rPr>
              <w:t>Ana çıktı</w:t>
            </w:r>
          </w:p>
        </w:tc>
        <w:tc>
          <w:tcPr>
            <w:tcW w:type="dxa" w:w="2131"/>
            <w:tcMar>
              <w:top w:w="72" w:type="dxa"/>
              <w:start w:w="110" w:type="dxa"/>
              <w:bottom w:w="72" w:type="dxa"/>
              <w:end w:w="110" w:type="dxa"/>
            </w:tcMar>
            <w:vAlign w:val="center"/>
            <w:shd w:fill="0C2854"/>
          </w:tcPr>
          <w:p>
            <w:pPr>
              <w:spacing w:after="0"/>
              <w:jc w:val="center"/>
            </w:pPr>
            <w:r>
              <w:rPr>
                <w:rFonts w:ascii="Calibri" w:hAnsi="Calibri"/>
                <w:b/>
                <w:i w:val="0"/>
                <w:color w:val="FFFFFF"/>
                <w:sz w:val="15"/>
              </w:rPr>
              <w:t>Hata politikası</w:t>
            </w:r>
          </w:p>
        </w:tc>
      </w:tr>
      <w:tr>
        <w:tc>
          <w:tcPr>
            <w:tcW w:type="dxa" w:w="792"/>
          </w:tcPr>
          <w:p>
            <w:pPr>
              <w:spacing w:after="0"/>
              <w:jc w:val="left"/>
            </w:pPr>
            <w:r>
              <w:rPr>
                <w:rFonts w:ascii="Calibri" w:hAnsi="Calibri"/>
                <w:b/>
                <w:i w:val="0"/>
                <w:color w:val="111827"/>
                <w:sz w:val="15"/>
              </w:rPr>
              <w:t>SS-01</w:t>
            </w:r>
          </w:p>
        </w:tc>
        <w:tc>
          <w:tcPr>
            <w:tcW w:type="dxa" w:w="1800"/>
          </w:tcPr>
          <w:p>
            <w:pPr>
              <w:spacing w:after="0"/>
              <w:jc w:val="left"/>
            </w:pPr>
            <w:r>
              <w:rPr>
                <w:rFonts w:ascii="Calibri" w:hAnsi="Calibri"/>
                <w:b w:val="0"/>
                <w:i w:val="0"/>
                <w:color w:val="111827"/>
                <w:sz w:val="15"/>
              </w:rPr>
              <w:t>Web UI &amp; REST API</w:t>
            </w:r>
          </w:p>
        </w:tc>
        <w:tc>
          <w:tcPr>
            <w:tcW w:type="dxa" w:w="2951"/>
          </w:tcPr>
          <w:p>
            <w:pPr>
              <w:spacing w:after="0"/>
              <w:jc w:val="left"/>
            </w:pPr>
            <w:r>
              <w:rPr>
                <w:rFonts w:ascii="Calibri" w:hAnsi="Calibri"/>
                <w:b w:val="0"/>
                <w:i w:val="0"/>
                <w:color w:val="111827"/>
                <w:sz w:val="15"/>
              </w:rPr>
              <w:t>AOI, tarih, model/ufuk seçimi; iş gönderme ve durum/sonuç gösterme</w:t>
            </w:r>
          </w:p>
        </w:tc>
        <w:tc>
          <w:tcPr>
            <w:tcW w:type="dxa" w:w="1800"/>
          </w:tcPr>
          <w:p>
            <w:pPr>
              <w:spacing w:after="0"/>
              <w:jc w:val="left"/>
            </w:pPr>
            <w:r>
              <w:rPr>
                <w:rFonts w:ascii="Calibri" w:hAnsi="Calibri"/>
                <w:b w:val="0"/>
                <w:i w:val="0"/>
                <w:color w:val="111827"/>
                <w:sz w:val="15"/>
              </w:rPr>
              <w:t>HTTPS JSON, signed artifact URL</w:t>
            </w:r>
          </w:p>
        </w:tc>
        <w:tc>
          <w:tcPr>
            <w:tcW w:type="dxa" w:w="2131"/>
          </w:tcPr>
          <w:p>
            <w:pPr>
              <w:spacing w:after="0"/>
              <w:jc w:val="left"/>
            </w:pPr>
            <w:r>
              <w:rPr>
                <w:rFonts w:ascii="Calibri" w:hAnsi="Calibri"/>
                <w:b w:val="0"/>
                <w:i w:val="0"/>
                <w:color w:val="111827"/>
                <w:sz w:val="15"/>
              </w:rPr>
              <w:t>4xx doğrulama; 429 kota; 202 async kabul</w:t>
            </w:r>
          </w:p>
        </w:tc>
      </w:tr>
      <w:tr>
        <w:tc>
          <w:tcPr>
            <w:tcW w:type="dxa" w:w="792"/>
            <w:shd w:fill="F4F7FB"/>
          </w:tcPr>
          <w:p>
            <w:pPr>
              <w:spacing w:after="0"/>
              <w:jc w:val="left"/>
            </w:pPr>
            <w:r>
              <w:rPr>
                <w:rFonts w:ascii="Calibri" w:hAnsi="Calibri"/>
                <w:b/>
                <w:i w:val="0"/>
                <w:color w:val="111827"/>
                <w:sz w:val="15"/>
              </w:rPr>
              <w:t>SS-02</w:t>
            </w:r>
          </w:p>
        </w:tc>
        <w:tc>
          <w:tcPr>
            <w:tcW w:type="dxa" w:w="1800"/>
            <w:shd w:fill="F4F7FB"/>
          </w:tcPr>
          <w:p>
            <w:pPr>
              <w:spacing w:after="0"/>
              <w:jc w:val="left"/>
            </w:pPr>
            <w:r>
              <w:rPr>
                <w:rFonts w:ascii="Calibri" w:hAnsi="Calibri"/>
                <w:b w:val="0"/>
                <w:i w:val="0"/>
                <w:color w:val="111827"/>
                <w:sz w:val="15"/>
              </w:rPr>
              <w:t>Access Gateway &amp; Policy</w:t>
            </w:r>
          </w:p>
        </w:tc>
        <w:tc>
          <w:tcPr>
            <w:tcW w:type="dxa" w:w="2951"/>
            <w:shd w:fill="F4F7FB"/>
          </w:tcPr>
          <w:p>
            <w:pPr>
              <w:spacing w:after="0"/>
              <w:jc w:val="left"/>
            </w:pPr>
            <w:r>
              <w:rPr>
                <w:rFonts w:ascii="Calibri" w:hAnsi="Calibri"/>
                <w:b w:val="0"/>
                <w:i w:val="0"/>
                <w:color w:val="111827"/>
                <w:sz w:val="15"/>
              </w:rPr>
              <w:t>Host/kampüs kapısı, kısa ömürlü capability, proje/job kapsamı ve servis kimliği</w:t>
            </w:r>
          </w:p>
        </w:tc>
        <w:tc>
          <w:tcPr>
            <w:tcW w:type="dxa" w:w="1800"/>
            <w:shd w:fill="F4F7FB"/>
          </w:tcPr>
          <w:p>
            <w:pPr>
              <w:spacing w:after="0"/>
              <w:jc w:val="left"/>
            </w:pPr>
            <w:r>
              <w:rPr>
                <w:rFonts w:ascii="Calibri" w:hAnsi="Calibri"/>
                <w:b w:val="0"/>
                <w:i w:val="0"/>
                <w:color w:val="111827"/>
                <w:sz w:val="15"/>
              </w:rPr>
              <w:t>Opaque scope, policy decision</w:t>
            </w:r>
          </w:p>
        </w:tc>
        <w:tc>
          <w:tcPr>
            <w:tcW w:type="dxa" w:w="2131"/>
            <w:shd w:fill="F4F7FB"/>
          </w:tcPr>
          <w:p>
            <w:pPr>
              <w:spacing w:after="0"/>
              <w:jc w:val="left"/>
            </w:pPr>
            <w:r>
              <w:rPr>
                <w:rFonts w:ascii="Calibri" w:hAnsi="Calibri"/>
                <w:b w:val="0"/>
                <w:i w:val="0"/>
                <w:color w:val="111827"/>
                <w:sz w:val="15"/>
              </w:rPr>
              <w:t>Fail closed; kişisel subject/IP kalıcılaştırılmaz</w:t>
            </w:r>
          </w:p>
        </w:tc>
      </w:tr>
      <w:tr>
        <w:tc>
          <w:tcPr>
            <w:tcW w:type="dxa" w:w="792"/>
          </w:tcPr>
          <w:p>
            <w:pPr>
              <w:spacing w:after="0"/>
              <w:jc w:val="left"/>
            </w:pPr>
            <w:r>
              <w:rPr>
                <w:rFonts w:ascii="Calibri" w:hAnsi="Calibri"/>
                <w:b/>
                <w:i w:val="0"/>
                <w:color w:val="111827"/>
                <w:sz w:val="15"/>
              </w:rPr>
              <w:t>SS-03</w:t>
            </w:r>
          </w:p>
        </w:tc>
        <w:tc>
          <w:tcPr>
            <w:tcW w:type="dxa" w:w="1800"/>
          </w:tcPr>
          <w:p>
            <w:pPr>
              <w:spacing w:after="0"/>
              <w:jc w:val="left"/>
            </w:pPr>
            <w:r>
              <w:rPr>
                <w:rFonts w:ascii="Calibri" w:hAnsi="Calibri"/>
                <w:b w:val="0"/>
                <w:i w:val="0"/>
                <w:color w:val="111827"/>
                <w:sz w:val="15"/>
              </w:rPr>
              <w:t>Analysis Orchestrator</w:t>
            </w:r>
          </w:p>
        </w:tc>
        <w:tc>
          <w:tcPr>
            <w:tcW w:type="dxa" w:w="2951"/>
          </w:tcPr>
          <w:p>
            <w:pPr>
              <w:spacing w:after="0"/>
              <w:jc w:val="left"/>
            </w:pPr>
            <w:r>
              <w:rPr>
                <w:rFonts w:ascii="Calibri" w:hAnsi="Calibri"/>
                <w:b w:val="0"/>
                <w:i w:val="0"/>
                <w:color w:val="111827"/>
                <w:sz w:val="15"/>
              </w:rPr>
              <w:t>Proje ve iş durumu, pipeline DAG, idempotency, retry/fallback politikası</w:t>
            </w:r>
          </w:p>
        </w:tc>
        <w:tc>
          <w:tcPr>
            <w:tcW w:type="dxa" w:w="1800"/>
          </w:tcPr>
          <w:p>
            <w:pPr>
              <w:spacing w:after="0"/>
              <w:jc w:val="left"/>
            </w:pPr>
            <w:r>
              <w:rPr>
                <w:rFonts w:ascii="Calibri" w:hAnsi="Calibri"/>
                <w:b w:val="0"/>
                <w:i w:val="0"/>
                <w:color w:val="111827"/>
                <w:sz w:val="15"/>
              </w:rPr>
              <w:t>Job command/event</w:t>
            </w:r>
          </w:p>
        </w:tc>
        <w:tc>
          <w:tcPr>
            <w:tcW w:type="dxa" w:w="2131"/>
          </w:tcPr>
          <w:p>
            <w:pPr>
              <w:spacing w:after="0"/>
              <w:jc w:val="left"/>
            </w:pPr>
            <w:r>
              <w:rPr>
                <w:rFonts w:ascii="Calibri" w:hAnsi="Calibri"/>
                <w:b w:val="0"/>
                <w:i w:val="0"/>
                <w:color w:val="111827"/>
                <w:sz w:val="15"/>
              </w:rPr>
              <w:t>Uzlaştırıcı stale işleri bulur; state transition atomik</w:t>
            </w:r>
          </w:p>
        </w:tc>
      </w:tr>
      <w:tr>
        <w:tc>
          <w:tcPr>
            <w:tcW w:type="dxa" w:w="792"/>
            <w:shd w:fill="F4F7FB"/>
          </w:tcPr>
          <w:p>
            <w:pPr>
              <w:spacing w:after="0"/>
              <w:jc w:val="left"/>
            </w:pPr>
            <w:r>
              <w:rPr>
                <w:rFonts w:ascii="Calibri" w:hAnsi="Calibri"/>
                <w:b/>
                <w:i w:val="0"/>
                <w:color w:val="111827"/>
                <w:sz w:val="15"/>
              </w:rPr>
              <w:t>SS-04</w:t>
            </w:r>
          </w:p>
        </w:tc>
        <w:tc>
          <w:tcPr>
            <w:tcW w:type="dxa" w:w="1800"/>
            <w:shd w:fill="F4F7FB"/>
          </w:tcPr>
          <w:p>
            <w:pPr>
              <w:spacing w:after="0"/>
              <w:jc w:val="left"/>
            </w:pPr>
            <w:r>
              <w:rPr>
                <w:rFonts w:ascii="Calibri" w:hAnsi="Calibri"/>
                <w:b w:val="0"/>
                <w:i w:val="0"/>
                <w:color w:val="111827"/>
                <w:sz w:val="15"/>
              </w:rPr>
              <w:t>Primary Sentinel Acquisition</w:t>
            </w:r>
          </w:p>
        </w:tc>
        <w:tc>
          <w:tcPr>
            <w:tcW w:type="dxa" w:w="2951"/>
            <w:shd w:fill="F4F7FB"/>
          </w:tcPr>
          <w:p>
            <w:pPr>
              <w:spacing w:after="0"/>
              <w:jc w:val="left"/>
            </w:pPr>
            <w:r>
              <w:rPr>
                <w:rFonts w:ascii="Calibri" w:hAnsi="Calibri"/>
                <w:b w:val="0"/>
                <w:i w:val="0"/>
                <w:color w:val="111827"/>
                <w:sz w:val="15"/>
              </w:rPr>
              <w:t>Sentinel-2/SSL4EO manifesti ve lisans/provenance; ana seri girdisi</w:t>
            </w:r>
          </w:p>
        </w:tc>
        <w:tc>
          <w:tcPr>
            <w:tcW w:type="dxa" w:w="1800"/>
            <w:shd w:fill="F4F7FB"/>
          </w:tcPr>
          <w:p>
            <w:pPr>
              <w:spacing w:after="0"/>
              <w:jc w:val="left"/>
            </w:pPr>
            <w:r>
              <w:rPr>
                <w:rFonts w:ascii="Calibri" w:hAnsi="Calibri"/>
                <w:b w:val="0"/>
                <w:i w:val="0"/>
                <w:color w:val="111827"/>
                <w:sz w:val="15"/>
              </w:rPr>
              <w:t>Primary SceneManifest</w:t>
            </w:r>
          </w:p>
        </w:tc>
        <w:tc>
          <w:tcPr>
            <w:tcW w:type="dxa" w:w="2131"/>
            <w:shd w:fill="F4F7FB"/>
          </w:tcPr>
          <w:p>
            <w:pPr>
              <w:spacing w:after="0"/>
              <w:jc w:val="left"/>
            </w:pPr>
            <w:r>
              <w:rPr>
                <w:rFonts w:ascii="Calibri" w:hAnsi="Calibri"/>
                <w:b w:val="0"/>
                <w:i w:val="0"/>
                <w:color w:val="111827"/>
                <w:sz w:val="15"/>
              </w:rPr>
              <w:t>Provider timeout, rate limit, checksum mismatch</w:t>
            </w:r>
          </w:p>
        </w:tc>
      </w:tr>
      <w:tr>
        <w:tc>
          <w:tcPr>
            <w:tcW w:type="dxa" w:w="792"/>
          </w:tcPr>
          <w:p>
            <w:pPr>
              <w:spacing w:after="0"/>
              <w:jc w:val="left"/>
            </w:pPr>
            <w:r>
              <w:rPr>
                <w:rFonts w:ascii="Calibri" w:hAnsi="Calibri"/>
                <w:b/>
                <w:i w:val="0"/>
                <w:color w:val="111827"/>
                <w:sz w:val="15"/>
              </w:rPr>
              <w:t>SS-05</w:t>
            </w:r>
          </w:p>
        </w:tc>
        <w:tc>
          <w:tcPr>
            <w:tcW w:type="dxa" w:w="1800"/>
          </w:tcPr>
          <w:p>
            <w:pPr>
              <w:spacing w:after="0"/>
              <w:jc w:val="left"/>
            </w:pPr>
            <w:r>
              <w:rPr>
                <w:rFonts w:ascii="Calibri" w:hAnsi="Calibri"/>
                <w:b w:val="0"/>
                <w:i w:val="0"/>
                <w:color w:val="111827"/>
                <w:sz w:val="15"/>
              </w:rPr>
              <w:t>Preprocessing &amp; QA</w:t>
            </w:r>
          </w:p>
        </w:tc>
        <w:tc>
          <w:tcPr>
            <w:tcW w:type="dxa" w:w="2951"/>
          </w:tcPr>
          <w:p>
            <w:pPr>
              <w:spacing w:after="0"/>
              <w:jc w:val="left"/>
            </w:pPr>
            <w:r>
              <w:rPr>
                <w:rFonts w:ascii="Calibri" w:hAnsi="Calibri"/>
                <w:b w:val="0"/>
                <w:i w:val="0"/>
                <w:color w:val="111827"/>
                <w:sz w:val="15"/>
              </w:rPr>
              <w:t>Bulut maskesi, hizalama, eş-alan CRS dönüşümü, kompozit ve kalite</w:t>
            </w:r>
          </w:p>
        </w:tc>
        <w:tc>
          <w:tcPr>
            <w:tcW w:type="dxa" w:w="1800"/>
          </w:tcPr>
          <w:p>
            <w:pPr>
              <w:spacing w:after="0"/>
              <w:jc w:val="left"/>
            </w:pPr>
            <w:r>
              <w:rPr>
                <w:rFonts w:ascii="Calibri" w:hAnsi="Calibri"/>
                <w:b w:val="0"/>
                <w:i w:val="0"/>
                <w:color w:val="111827"/>
                <w:sz w:val="15"/>
              </w:rPr>
              <w:t>QualityComposite + CRS metadata</w:t>
            </w:r>
          </w:p>
        </w:tc>
        <w:tc>
          <w:tcPr>
            <w:tcW w:type="dxa" w:w="2131"/>
          </w:tcPr>
          <w:p>
            <w:pPr>
              <w:spacing w:after="0"/>
              <w:jc w:val="left"/>
            </w:pPr>
            <w:r>
              <w:rPr>
                <w:rFonts w:ascii="Calibri" w:hAnsi="Calibri"/>
                <w:b w:val="0"/>
                <w:i w:val="0"/>
                <w:color w:val="111827"/>
                <w:sz w:val="15"/>
              </w:rPr>
              <w:t>Düşük usable-pixel → LOW_CONFIDENCE; dönüşüm/bozuk raster → fail</w:t>
            </w:r>
          </w:p>
        </w:tc>
      </w:tr>
      <w:tr>
        <w:tc>
          <w:tcPr>
            <w:tcW w:type="dxa" w:w="792"/>
            <w:shd w:fill="F4F7FB"/>
          </w:tcPr>
          <w:p>
            <w:pPr>
              <w:spacing w:after="0"/>
              <w:jc w:val="left"/>
            </w:pPr>
            <w:r>
              <w:rPr>
                <w:rFonts w:ascii="Calibri" w:hAnsi="Calibri"/>
                <w:b/>
                <w:i w:val="0"/>
                <w:color w:val="111827"/>
                <w:sz w:val="15"/>
              </w:rPr>
              <w:t>SS-06</w:t>
            </w:r>
          </w:p>
        </w:tc>
        <w:tc>
          <w:tcPr>
            <w:tcW w:type="dxa" w:w="1800"/>
            <w:shd w:fill="F4F7FB"/>
          </w:tcPr>
          <w:p>
            <w:pPr>
              <w:spacing w:after="0"/>
              <w:jc w:val="left"/>
            </w:pPr>
            <w:r>
              <w:rPr>
                <w:rFonts w:ascii="Calibri" w:hAnsi="Calibri"/>
                <w:b w:val="0"/>
                <w:i w:val="0"/>
                <w:color w:val="111827"/>
                <w:sz w:val="15"/>
              </w:rPr>
              <w:t>Segmentation Training</w:t>
            </w:r>
          </w:p>
        </w:tc>
        <w:tc>
          <w:tcPr>
            <w:tcW w:type="dxa" w:w="2951"/>
            <w:shd w:fill="F4F7FB"/>
          </w:tcPr>
          <w:p>
            <w:pPr>
              <w:spacing w:after="0"/>
              <w:jc w:val="left"/>
            </w:pPr>
            <w:r>
              <w:rPr>
                <w:rFonts w:ascii="Calibri" w:hAnsi="Calibri"/>
                <w:b w:val="0"/>
                <w:i w:val="0"/>
                <w:color w:val="111827"/>
                <w:sz w:val="15"/>
              </w:rPr>
              <w:t>Dört mevsim modeli, checkpoint, config ve metrik</w:t>
            </w:r>
          </w:p>
        </w:tc>
        <w:tc>
          <w:tcPr>
            <w:tcW w:type="dxa" w:w="1800"/>
            <w:shd w:fill="F4F7FB"/>
          </w:tcPr>
          <w:p>
            <w:pPr>
              <w:spacing w:after="0"/>
              <w:jc w:val="left"/>
            </w:pPr>
            <w:r>
              <w:rPr>
                <w:rFonts w:ascii="Calibri" w:hAnsi="Calibri"/>
                <w:b w:val="0"/>
                <w:i w:val="0"/>
                <w:color w:val="111827"/>
                <w:sz w:val="15"/>
              </w:rPr>
              <w:t>ModelVersion</w:t>
            </w:r>
          </w:p>
        </w:tc>
        <w:tc>
          <w:tcPr>
            <w:tcW w:type="dxa" w:w="2131"/>
            <w:shd w:fill="F4F7FB"/>
          </w:tcPr>
          <w:p>
            <w:pPr>
              <w:spacing w:after="0"/>
              <w:jc w:val="left"/>
            </w:pPr>
            <w:r>
              <w:rPr>
                <w:rFonts w:ascii="Calibri" w:hAnsi="Calibri"/>
                <w:b w:val="0"/>
                <w:i w:val="0"/>
                <w:color w:val="111827"/>
                <w:sz w:val="15"/>
              </w:rPr>
              <w:t>OOM checkpoint/resume; hedef altı metric → review</w:t>
            </w:r>
          </w:p>
        </w:tc>
      </w:tr>
      <w:tr>
        <w:tc>
          <w:tcPr>
            <w:tcW w:type="dxa" w:w="792"/>
          </w:tcPr>
          <w:p>
            <w:pPr>
              <w:spacing w:after="0"/>
              <w:jc w:val="left"/>
            </w:pPr>
            <w:r>
              <w:rPr>
                <w:rFonts w:ascii="Calibri" w:hAnsi="Calibri"/>
                <w:b/>
                <w:i w:val="0"/>
                <w:color w:val="111827"/>
                <w:sz w:val="15"/>
              </w:rPr>
              <w:t>SS-07</w:t>
            </w:r>
          </w:p>
        </w:tc>
        <w:tc>
          <w:tcPr>
            <w:tcW w:type="dxa" w:w="1800"/>
          </w:tcPr>
          <w:p>
            <w:pPr>
              <w:spacing w:after="0"/>
              <w:jc w:val="left"/>
            </w:pPr>
            <w:r>
              <w:rPr>
                <w:rFonts w:ascii="Calibri" w:hAnsi="Calibri"/>
                <w:b w:val="0"/>
                <w:i w:val="0"/>
                <w:color w:val="111827"/>
                <w:sz w:val="15"/>
              </w:rPr>
              <w:t>Segmentation Inference</w:t>
            </w:r>
          </w:p>
        </w:tc>
        <w:tc>
          <w:tcPr>
            <w:tcW w:type="dxa" w:w="2951"/>
          </w:tcPr>
          <w:p>
            <w:pPr>
              <w:spacing w:after="0"/>
              <w:jc w:val="left"/>
            </w:pPr>
            <w:r>
              <w:rPr>
                <w:rFonts w:ascii="Calibri" w:hAnsi="Calibri"/>
                <w:b w:val="0"/>
                <w:i w:val="0"/>
                <w:color w:val="111827"/>
                <w:sz w:val="15"/>
              </w:rPr>
              <w:t>Mevsime uygun modelle otomatik etiketleme</w:t>
            </w:r>
          </w:p>
        </w:tc>
        <w:tc>
          <w:tcPr>
            <w:tcW w:type="dxa" w:w="1800"/>
          </w:tcPr>
          <w:p>
            <w:pPr>
              <w:spacing w:after="0"/>
              <w:jc w:val="left"/>
            </w:pPr>
            <w:r>
              <w:rPr>
                <w:rFonts w:ascii="Calibri" w:hAnsi="Calibri"/>
                <w:b w:val="0"/>
                <w:i w:val="0"/>
                <w:color w:val="111827"/>
                <w:sz w:val="15"/>
              </w:rPr>
              <w:t>SegmentationMap</w:t>
            </w:r>
          </w:p>
        </w:tc>
        <w:tc>
          <w:tcPr>
            <w:tcW w:type="dxa" w:w="2131"/>
          </w:tcPr>
          <w:p>
            <w:pPr>
              <w:spacing w:after="0"/>
              <w:jc w:val="left"/>
            </w:pPr>
            <w:r>
              <w:rPr>
                <w:rFonts w:ascii="Calibri" w:hAnsi="Calibri"/>
                <w:b w:val="0"/>
                <w:i w:val="0"/>
                <w:color w:val="111827"/>
                <w:sz w:val="15"/>
              </w:rPr>
              <w:t>Model/CRS uyuşmazlığı hızlı fail; tile retry</w:t>
            </w:r>
          </w:p>
        </w:tc>
      </w:tr>
      <w:tr>
        <w:tc>
          <w:tcPr>
            <w:tcW w:type="dxa" w:w="792"/>
            <w:shd w:fill="F4F7FB"/>
          </w:tcPr>
          <w:p>
            <w:pPr>
              <w:spacing w:after="0"/>
              <w:jc w:val="left"/>
            </w:pPr>
            <w:r>
              <w:rPr>
                <w:rFonts w:ascii="Calibri" w:hAnsi="Calibri"/>
                <w:b/>
                <w:i w:val="0"/>
                <w:color w:val="111827"/>
                <w:sz w:val="15"/>
              </w:rPr>
              <w:t>SS-08</w:t>
            </w:r>
          </w:p>
        </w:tc>
        <w:tc>
          <w:tcPr>
            <w:tcW w:type="dxa" w:w="1800"/>
            <w:shd w:fill="F4F7FB"/>
          </w:tcPr>
          <w:p>
            <w:pPr>
              <w:spacing w:after="0"/>
              <w:jc w:val="left"/>
            </w:pPr>
            <w:r>
              <w:rPr>
                <w:rFonts w:ascii="Calibri" w:hAnsi="Calibri"/>
                <w:b w:val="0"/>
                <w:i w:val="0"/>
                <w:color w:val="111827"/>
                <w:sz w:val="15"/>
              </w:rPr>
              <w:t>Metrics &amp; Features</w:t>
            </w:r>
          </w:p>
        </w:tc>
        <w:tc>
          <w:tcPr>
            <w:tcW w:type="dxa" w:w="2951"/>
            <w:shd w:fill="F4F7FB"/>
          </w:tcPr>
          <w:p>
            <w:pPr>
              <w:spacing w:after="0"/>
              <w:jc w:val="left"/>
            </w:pPr>
            <w:r>
              <w:rPr>
                <w:rFonts w:ascii="Calibri" w:hAnsi="Calibri"/>
                <w:b w:val="0"/>
                <w:i w:val="0"/>
                <w:color w:val="111827"/>
                <w:sz w:val="15"/>
              </w:rPr>
              <w:t>Eş-alanda sınıf m²/km²; green=Tree+Grass+Crops+Flooded Vegetation; açık oran</w:t>
            </w:r>
          </w:p>
        </w:tc>
        <w:tc>
          <w:tcPr>
            <w:tcW w:type="dxa" w:w="1800"/>
            <w:shd w:fill="F4F7FB"/>
          </w:tcPr>
          <w:p>
            <w:pPr>
              <w:spacing w:after="0"/>
              <w:jc w:val="left"/>
            </w:pPr>
            <w:r>
              <w:rPr>
                <w:rFonts w:ascii="Calibri" w:hAnsi="Calibri"/>
                <w:b w:val="0"/>
                <w:i w:val="0"/>
                <w:color w:val="111827"/>
                <w:sz w:val="15"/>
              </w:rPr>
              <w:t>Primary TimeSeriesDataset</w:t>
            </w:r>
          </w:p>
        </w:tc>
        <w:tc>
          <w:tcPr>
            <w:tcW w:type="dxa" w:w="2131"/>
            <w:shd w:fill="F4F7FB"/>
          </w:tcPr>
          <w:p>
            <w:pPr>
              <w:spacing w:after="0"/>
              <w:jc w:val="left"/>
            </w:pPr>
            <w:r>
              <w:rPr>
                <w:rFonts w:ascii="Calibri" w:hAnsi="Calibri"/>
                <w:b w:val="0"/>
                <w:i w:val="0"/>
                <w:color w:val="111827"/>
                <w:sz w:val="15"/>
              </w:rPr>
              <w:t>Eksik dönem ve sıfır denominator bayraklı; sessiz imputasyon yok</w:t>
            </w:r>
          </w:p>
        </w:tc>
      </w:tr>
      <w:tr>
        <w:tc>
          <w:tcPr>
            <w:tcW w:type="dxa" w:w="792"/>
          </w:tcPr>
          <w:p>
            <w:pPr>
              <w:spacing w:after="0"/>
              <w:jc w:val="left"/>
            </w:pPr>
            <w:r>
              <w:rPr>
                <w:rFonts w:ascii="Calibri" w:hAnsi="Calibri"/>
                <w:b/>
                <w:i w:val="0"/>
                <w:color w:val="111827"/>
                <w:sz w:val="15"/>
              </w:rPr>
              <w:t>SS-09</w:t>
            </w:r>
          </w:p>
        </w:tc>
        <w:tc>
          <w:tcPr>
            <w:tcW w:type="dxa" w:w="1800"/>
          </w:tcPr>
          <w:p>
            <w:pPr>
              <w:spacing w:after="0"/>
              <w:jc w:val="left"/>
            </w:pPr>
            <w:r>
              <w:rPr>
                <w:rFonts w:ascii="Calibri" w:hAnsi="Calibri"/>
                <w:b w:val="0"/>
                <w:i w:val="0"/>
                <w:color w:val="111827"/>
                <w:sz w:val="15"/>
              </w:rPr>
              <w:t>Forecasting</w:t>
            </w:r>
          </w:p>
        </w:tc>
        <w:tc>
          <w:tcPr>
            <w:tcW w:type="dxa" w:w="2951"/>
          </w:tcPr>
          <w:p>
            <w:pPr>
              <w:spacing w:after="0"/>
              <w:jc w:val="left"/>
            </w:pPr>
            <w:r>
              <w:rPr>
                <w:rFonts w:ascii="Calibri" w:hAnsi="Calibri"/>
                <w:b w:val="0"/>
                <w:i w:val="0"/>
                <w:color w:val="111827"/>
                <w:sz w:val="15"/>
              </w:rPr>
              <w:t>No-change, linear trend ve zorunlu LSTM; Mamba/TimesFM opsiyonel</w:t>
            </w:r>
          </w:p>
        </w:tc>
        <w:tc>
          <w:tcPr>
            <w:tcW w:type="dxa" w:w="1800"/>
          </w:tcPr>
          <w:p>
            <w:pPr>
              <w:spacing w:after="0"/>
              <w:jc w:val="left"/>
            </w:pPr>
            <w:r>
              <w:rPr>
                <w:rFonts w:ascii="Calibri" w:hAnsi="Calibri"/>
                <w:b w:val="0"/>
                <w:i w:val="0"/>
                <w:color w:val="111827"/>
                <w:sz w:val="15"/>
              </w:rPr>
              <w:t>Primary ForecastRun</w:t>
            </w:r>
          </w:p>
        </w:tc>
        <w:tc>
          <w:tcPr>
            <w:tcW w:type="dxa" w:w="2131"/>
          </w:tcPr>
          <w:p>
            <w:pPr>
              <w:spacing w:after="0"/>
              <w:jc w:val="left"/>
            </w:pPr>
            <w:r>
              <w:rPr>
                <w:rFonts w:ascii="Calibri" w:hAnsi="Calibri"/>
                <w:b w:val="0"/>
                <w:i w:val="0"/>
                <w:color w:val="111827"/>
                <w:sz w:val="15"/>
              </w:rPr>
              <w:t>LSTM yok/başarısız → ana koşu FAILED/INSUFFICIENT_SERIES; yayın yok</w:t>
            </w:r>
          </w:p>
        </w:tc>
      </w:tr>
      <w:tr>
        <w:tc>
          <w:tcPr>
            <w:tcW w:type="dxa" w:w="792"/>
            <w:shd w:fill="F4F7FB"/>
          </w:tcPr>
          <w:p>
            <w:pPr>
              <w:spacing w:after="0"/>
              <w:jc w:val="left"/>
            </w:pPr>
            <w:r>
              <w:rPr>
                <w:rFonts w:ascii="Calibri" w:hAnsi="Calibri"/>
                <w:b/>
                <w:i w:val="0"/>
                <w:color w:val="111827"/>
                <w:sz w:val="15"/>
              </w:rPr>
              <w:t>SS-10</w:t>
            </w:r>
          </w:p>
        </w:tc>
        <w:tc>
          <w:tcPr>
            <w:tcW w:type="dxa" w:w="1800"/>
            <w:shd w:fill="F4F7FB"/>
          </w:tcPr>
          <w:p>
            <w:pPr>
              <w:spacing w:after="0"/>
              <w:jc w:val="left"/>
            </w:pPr>
            <w:r>
              <w:rPr>
                <w:rFonts w:ascii="Calibri" w:hAnsi="Calibri"/>
                <w:b w:val="0"/>
                <w:i w:val="0"/>
                <w:color w:val="111827"/>
                <w:sz w:val="15"/>
              </w:rPr>
              <w:t>Evaluation &amp; QA</w:t>
            </w:r>
          </w:p>
        </w:tc>
        <w:tc>
          <w:tcPr>
            <w:tcW w:type="dxa" w:w="2951"/>
            <w:shd w:fill="F4F7FB"/>
          </w:tcPr>
          <w:p>
            <w:pPr>
              <w:spacing w:after="0"/>
              <w:jc w:val="left"/>
            </w:pPr>
            <w:r>
              <w:rPr>
                <w:rFonts w:ascii="Calibri" w:hAnsi="Calibri"/>
                <w:b w:val="0"/>
                <w:i w:val="0"/>
                <w:color w:val="111827"/>
                <w:sz w:val="15"/>
              </w:rPr>
              <w:t>Macro-F1/IoU/precision/recall, MAE/RMSE, eşik ve karşılaştırma</w:t>
            </w:r>
          </w:p>
        </w:tc>
        <w:tc>
          <w:tcPr>
            <w:tcW w:type="dxa" w:w="1800"/>
            <w:shd w:fill="F4F7FB"/>
          </w:tcPr>
          <w:p>
            <w:pPr>
              <w:spacing w:after="0"/>
              <w:jc w:val="left"/>
            </w:pPr>
            <w:r>
              <w:rPr>
                <w:rFonts w:ascii="Calibri" w:hAnsi="Calibri"/>
                <w:b w:val="0"/>
                <w:i w:val="0"/>
                <w:color w:val="111827"/>
                <w:sz w:val="15"/>
              </w:rPr>
              <w:t>MetricReport</w:t>
            </w:r>
          </w:p>
        </w:tc>
        <w:tc>
          <w:tcPr>
            <w:tcW w:type="dxa" w:w="2131"/>
            <w:shd w:fill="F4F7FB"/>
          </w:tcPr>
          <w:p>
            <w:pPr>
              <w:spacing w:after="0"/>
              <w:jc w:val="left"/>
            </w:pPr>
            <w:r>
              <w:rPr>
                <w:rFonts w:ascii="Calibri" w:hAnsi="Calibri"/>
                <w:b w:val="0"/>
                <w:i w:val="0"/>
                <w:color w:val="111827"/>
                <w:sz w:val="15"/>
              </w:rPr>
              <w:t>Eşik altı sonuç yayımlanır ama uyarı/inceleme bayraklı</w:t>
            </w:r>
          </w:p>
        </w:tc>
      </w:tr>
      <w:tr>
        <w:tc>
          <w:tcPr>
            <w:tcW w:type="dxa" w:w="792"/>
          </w:tcPr>
          <w:p>
            <w:pPr>
              <w:spacing w:after="0"/>
              <w:jc w:val="left"/>
            </w:pPr>
            <w:r>
              <w:rPr>
                <w:rFonts w:ascii="Calibri" w:hAnsi="Calibri"/>
                <w:b/>
                <w:i w:val="0"/>
                <w:color w:val="111827"/>
                <w:sz w:val="15"/>
              </w:rPr>
              <w:t>SS-11</w:t>
            </w:r>
          </w:p>
        </w:tc>
        <w:tc>
          <w:tcPr>
            <w:tcW w:type="dxa" w:w="1800"/>
          </w:tcPr>
          <w:p>
            <w:pPr>
              <w:spacing w:after="0"/>
              <w:jc w:val="left"/>
            </w:pPr>
            <w:r>
              <w:rPr>
                <w:rFonts w:ascii="Calibri" w:hAnsi="Calibri"/>
                <w:b w:val="0"/>
                <w:i w:val="0"/>
                <w:color w:val="111827"/>
                <w:sz w:val="15"/>
              </w:rPr>
              <w:t>Reporting &amp; Export</w:t>
            </w:r>
          </w:p>
        </w:tc>
        <w:tc>
          <w:tcPr>
            <w:tcW w:type="dxa" w:w="2951"/>
          </w:tcPr>
          <w:p>
            <w:pPr>
              <w:spacing w:after="0"/>
              <w:jc w:val="left"/>
            </w:pPr>
            <w:r>
              <w:rPr>
                <w:rFonts w:ascii="Calibri" w:hAnsi="Calibri"/>
                <w:b w:val="0"/>
                <w:i w:val="0"/>
                <w:color w:val="111827"/>
                <w:sz w:val="15"/>
              </w:rPr>
              <w:t>Harita/grafik/tablo, hata analizi, eksik dönem, lisans/kaynak bildirimi ve uyarı</w:t>
            </w:r>
          </w:p>
        </w:tc>
        <w:tc>
          <w:tcPr>
            <w:tcW w:type="dxa" w:w="1800"/>
          </w:tcPr>
          <w:p>
            <w:pPr>
              <w:spacing w:after="0"/>
              <w:jc w:val="left"/>
            </w:pPr>
            <w:r>
              <w:rPr>
                <w:rFonts w:ascii="Calibri" w:hAnsi="Calibri"/>
                <w:b w:val="0"/>
                <w:i w:val="0"/>
                <w:color w:val="111827"/>
                <w:sz w:val="15"/>
              </w:rPr>
              <w:t>PNG/PDF/CSV/GeoTIFF package</w:t>
            </w:r>
          </w:p>
        </w:tc>
        <w:tc>
          <w:tcPr>
            <w:tcW w:type="dxa" w:w="2131"/>
          </w:tcPr>
          <w:p>
            <w:pPr>
              <w:spacing w:after="0"/>
              <w:jc w:val="left"/>
            </w:pPr>
            <w:r>
              <w:rPr>
                <w:rFonts w:ascii="Calibri" w:hAnsi="Calibri"/>
                <w:b w:val="0"/>
                <w:i w:val="0"/>
                <w:color w:val="111827"/>
                <w:sz w:val="15"/>
              </w:rPr>
              <w:t>Zorunlu içerik eksikse PUBLISHED reddedilir</w:t>
            </w:r>
          </w:p>
        </w:tc>
      </w:tr>
      <w:tr>
        <w:tc>
          <w:tcPr>
            <w:tcW w:type="dxa" w:w="792"/>
            <w:shd w:fill="F4F7FB"/>
          </w:tcPr>
          <w:p>
            <w:pPr>
              <w:spacing w:after="0"/>
              <w:jc w:val="left"/>
            </w:pPr>
            <w:r>
              <w:rPr>
                <w:rFonts w:ascii="Calibri" w:hAnsi="Calibri"/>
                <w:b/>
                <w:i w:val="0"/>
                <w:color w:val="111827"/>
                <w:sz w:val="15"/>
              </w:rPr>
              <w:t>SS-12</w:t>
            </w:r>
          </w:p>
        </w:tc>
        <w:tc>
          <w:tcPr>
            <w:tcW w:type="dxa" w:w="1800"/>
            <w:shd w:fill="F4F7FB"/>
          </w:tcPr>
          <w:p>
            <w:pPr>
              <w:spacing w:after="0"/>
              <w:jc w:val="left"/>
            </w:pPr>
            <w:r>
              <w:rPr>
                <w:rFonts w:ascii="Calibri" w:hAnsi="Calibri"/>
                <w:b w:val="0"/>
                <w:i w:val="0"/>
                <w:color w:val="111827"/>
                <w:sz w:val="15"/>
              </w:rPr>
              <w:t>Persistence &amp; Registry</w:t>
            </w:r>
          </w:p>
        </w:tc>
        <w:tc>
          <w:tcPr>
            <w:tcW w:type="dxa" w:w="2951"/>
            <w:shd w:fill="F4F7FB"/>
          </w:tcPr>
          <w:p>
            <w:pPr>
              <w:spacing w:after="0"/>
              <w:jc w:val="left"/>
            </w:pPr>
            <w:r>
              <w:rPr>
                <w:rFonts w:ascii="Calibri" w:hAnsi="Calibri"/>
                <w:b w:val="0"/>
                <w:i w:val="0"/>
                <w:color w:val="111827"/>
                <w:sz w:val="15"/>
              </w:rPr>
              <w:t>Metadata, AOI, model registry, artifact index ve audit</w:t>
            </w:r>
          </w:p>
        </w:tc>
        <w:tc>
          <w:tcPr>
            <w:tcW w:type="dxa" w:w="1800"/>
            <w:shd w:fill="F4F7FB"/>
          </w:tcPr>
          <w:p>
            <w:pPr>
              <w:spacing w:after="0"/>
              <w:jc w:val="left"/>
            </w:pPr>
            <w:r>
              <w:rPr>
                <w:rFonts w:ascii="Calibri" w:hAnsi="Calibri"/>
                <w:b w:val="0"/>
                <w:i w:val="0"/>
                <w:color w:val="111827"/>
                <w:sz w:val="15"/>
              </w:rPr>
              <w:t>SQL/repository contracts</w:t>
            </w:r>
          </w:p>
        </w:tc>
        <w:tc>
          <w:tcPr>
            <w:tcW w:type="dxa" w:w="2131"/>
            <w:shd w:fill="F4F7FB"/>
          </w:tcPr>
          <w:p>
            <w:pPr>
              <w:spacing w:after="0"/>
              <w:jc w:val="left"/>
            </w:pPr>
            <w:r>
              <w:rPr>
                <w:rFonts w:ascii="Calibri" w:hAnsi="Calibri"/>
                <w:b w:val="0"/>
                <w:i w:val="0"/>
                <w:color w:val="111827"/>
                <w:sz w:val="15"/>
              </w:rPr>
              <w:t>DB kapalıyken yeni iş kabul edilmez</w:t>
            </w:r>
          </w:p>
        </w:tc>
      </w:tr>
      <w:tr>
        <w:tc>
          <w:tcPr>
            <w:tcW w:type="dxa" w:w="792"/>
          </w:tcPr>
          <w:p>
            <w:pPr>
              <w:spacing w:after="0"/>
              <w:jc w:val="left"/>
            </w:pPr>
            <w:r>
              <w:rPr>
                <w:rFonts w:ascii="Calibri" w:hAnsi="Calibri"/>
                <w:b/>
                <w:i w:val="0"/>
                <w:color w:val="111827"/>
                <w:sz w:val="15"/>
              </w:rPr>
              <w:t>SS-13</w:t>
            </w:r>
          </w:p>
        </w:tc>
        <w:tc>
          <w:tcPr>
            <w:tcW w:type="dxa" w:w="1800"/>
          </w:tcPr>
          <w:p>
            <w:pPr>
              <w:spacing w:after="0"/>
              <w:jc w:val="left"/>
            </w:pPr>
            <w:r>
              <w:rPr>
                <w:rFonts w:ascii="Calibri" w:hAnsi="Calibri"/>
                <w:b w:val="0"/>
                <w:i w:val="0"/>
                <w:color w:val="111827"/>
                <w:sz w:val="15"/>
              </w:rPr>
              <w:t>Observability</w:t>
            </w:r>
          </w:p>
        </w:tc>
        <w:tc>
          <w:tcPr>
            <w:tcW w:type="dxa" w:w="2951"/>
          </w:tcPr>
          <w:p>
            <w:pPr>
              <w:spacing w:after="0"/>
              <w:jc w:val="left"/>
            </w:pPr>
            <w:r>
              <w:rPr>
                <w:rFonts w:ascii="Calibri" w:hAnsi="Calibri"/>
                <w:b w:val="0"/>
                <w:i w:val="0"/>
                <w:color w:val="111827"/>
                <w:sz w:val="15"/>
              </w:rPr>
              <w:t>Yapılandırılmış log, metric, trace, kimliksiz audit ve alarm</w:t>
            </w:r>
          </w:p>
        </w:tc>
        <w:tc>
          <w:tcPr>
            <w:tcW w:type="dxa" w:w="1800"/>
          </w:tcPr>
          <w:p>
            <w:pPr>
              <w:spacing w:after="0"/>
              <w:jc w:val="left"/>
            </w:pPr>
            <w:r>
              <w:rPr>
                <w:rFonts w:ascii="Calibri" w:hAnsi="Calibri"/>
                <w:b w:val="0"/>
                <w:i w:val="0"/>
                <w:color w:val="111827"/>
                <w:sz w:val="15"/>
              </w:rPr>
              <w:t>OpenTelemetry-compatible events</w:t>
            </w:r>
          </w:p>
        </w:tc>
        <w:tc>
          <w:tcPr>
            <w:tcW w:type="dxa" w:w="2131"/>
          </w:tcPr>
          <w:p>
            <w:pPr>
              <w:spacing w:after="0"/>
              <w:jc w:val="left"/>
            </w:pPr>
            <w:r>
              <w:rPr>
                <w:rFonts w:ascii="Calibri" w:hAnsi="Calibri"/>
                <w:b w:val="0"/>
                <w:i w:val="0"/>
                <w:color w:val="111827"/>
                <w:sz w:val="15"/>
              </w:rPr>
              <w:t>Telemetry kaybı işi durdurmaz; güvenlik olayı kaydı kritik</w:t>
            </w:r>
          </w:p>
        </w:tc>
      </w:tr>
      <w:tr>
        <w:tc>
          <w:tcPr>
            <w:tcW w:type="dxa" w:w="792"/>
            <w:shd w:fill="F4F7FB"/>
          </w:tcPr>
          <w:p>
            <w:pPr>
              <w:spacing w:after="0"/>
              <w:jc w:val="left"/>
            </w:pPr>
            <w:r>
              <w:rPr>
                <w:rFonts w:ascii="Calibri" w:hAnsi="Calibri"/>
                <w:b/>
                <w:i w:val="0"/>
                <w:color w:val="111827"/>
                <w:sz w:val="15"/>
              </w:rPr>
              <w:t>SS-14</w:t>
            </w:r>
          </w:p>
        </w:tc>
        <w:tc>
          <w:tcPr>
            <w:tcW w:type="dxa" w:w="1800"/>
            <w:shd w:fill="F4F7FB"/>
          </w:tcPr>
          <w:p>
            <w:pPr>
              <w:spacing w:after="0"/>
              <w:jc w:val="left"/>
            </w:pPr>
            <w:r>
              <w:rPr>
                <w:rFonts w:ascii="Calibri" w:hAnsi="Calibri"/>
                <w:b w:val="0"/>
                <w:i w:val="0"/>
                <w:color w:val="111827"/>
                <w:sz w:val="15"/>
              </w:rPr>
              <w:t>Historical Comparison</w:t>
            </w:r>
          </w:p>
        </w:tc>
        <w:tc>
          <w:tcPr>
            <w:tcW w:type="dxa" w:w="2951"/>
            <w:shd w:fill="F4F7FB"/>
          </w:tcPr>
          <w:p>
            <w:pPr>
              <w:spacing w:after="0"/>
              <w:jc w:val="left"/>
            </w:pPr>
            <w:r>
              <w:rPr>
                <w:rFonts w:ascii="Calibri" w:hAnsi="Calibri"/>
                <w:b w:val="0"/>
                <w:i w:val="0"/>
                <w:color w:val="111827"/>
                <w:sz w:val="15"/>
              </w:rPr>
              <w:t>GHSL/GISD30 bağımsız edinim, kıyas metrikleri ve ayrı sonuç kümesi</w:t>
            </w:r>
          </w:p>
        </w:tc>
        <w:tc>
          <w:tcPr>
            <w:tcW w:type="dxa" w:w="1800"/>
            <w:shd w:fill="F4F7FB"/>
          </w:tcPr>
          <w:p>
            <w:pPr>
              <w:spacing w:after="0"/>
              <w:jc w:val="left"/>
            </w:pPr>
            <w:r>
              <w:rPr>
                <w:rFonts w:ascii="Calibri" w:hAnsi="Calibri"/>
                <w:b w:val="0"/>
                <w:i w:val="0"/>
                <w:color w:val="111827"/>
                <w:sz w:val="15"/>
              </w:rPr>
              <w:t>ComparisonRun</w:t>
            </w:r>
          </w:p>
        </w:tc>
        <w:tc>
          <w:tcPr>
            <w:tcW w:type="dxa" w:w="2131"/>
            <w:shd w:fill="F4F7FB"/>
          </w:tcPr>
          <w:p>
            <w:pPr>
              <w:spacing w:after="0"/>
              <w:jc w:val="left"/>
            </w:pPr>
            <w:r>
              <w:rPr>
                <w:rFonts w:ascii="Calibri" w:hAnsi="Calibri"/>
                <w:b w:val="0"/>
                <w:i w:val="0"/>
                <w:color w:val="111827"/>
                <w:sz w:val="15"/>
              </w:rPr>
              <w:t>Ana Sentinel serisine bağlanma/concatenate şema ve publish kapısında reddedilir</w:t>
            </w:r>
          </w:p>
        </w:tc>
      </w:tr>
    </w:tbl>
    <w:p>
      <w:pPr>
        <w:spacing w:after="20"/>
      </w:pPr>
    </w:p>
    <w:p>
      <w:pPr>
        <w:pStyle w:val="Heading3"/>
        <w:keepNext/>
      </w:pPr>
      <w:r>
        <w:t>3.2.1 Contract and dependency rules</w:t>
      </w:r>
    </w:p>
    <w:p>
      <w:pPr>
        <w:pStyle w:val="ListBullet"/>
        <w:widowControl/>
        <w:spacing w:after="60"/>
      </w:pPr>
      <w:r>
        <w:rPr>
          <w:rFonts w:ascii="Calibri" w:hAnsi="Calibri"/>
          <w:b w:val="0"/>
          <w:i w:val="0"/>
          <w:color w:val="111827"/>
          <w:sz w:val="20"/>
        </w:rPr>
        <w:t>Bileşenler veri nesnesi paylaşmaz; sürümlü komut/olay şemaları ve artifact referansları paylaşır. Şemada geriye uyumlu alan ekleme tercih edilir.</w:t>
      </w:r>
    </w:p>
    <w:p>
      <w:pPr>
        <w:pStyle w:val="ListBullet"/>
        <w:widowControl/>
        <w:spacing w:after="60"/>
      </w:pPr>
      <w:r>
        <w:rPr>
          <w:rFonts w:ascii="Calibri" w:hAnsi="Calibri"/>
          <w:b w:val="0"/>
          <w:i w:val="0"/>
          <w:color w:val="111827"/>
          <w:sz w:val="20"/>
        </w:rPr>
        <w:t>Her command correlation_id, teknik service/job identity, idempotency_key, input artifact hashes ve requested configuration taşır. Kişisel subject, IP, secret veya ham token event payloadına yazılmaz.</w:t>
      </w:r>
    </w:p>
    <w:p>
      <w:pPr>
        <w:pStyle w:val="ListBullet"/>
        <w:widowControl/>
        <w:spacing w:after="60"/>
      </w:pPr>
      <w:r>
        <w:rPr>
          <w:rFonts w:ascii="Calibri" w:hAnsi="Calibri"/>
          <w:b w:val="0"/>
          <w:i w:val="0"/>
          <w:color w:val="111827"/>
          <w:sz w:val="20"/>
        </w:rPr>
        <w:t>Worker yalnız kendisine verilen proje/job kapsamındaki URI'lara erişir. Signed URL kısa ömürlüdür; path kullanıcı girdisinden doğrudan birleştirilmez.</w:t>
      </w:r>
    </w:p>
    <w:p>
      <w:pPr>
        <w:pStyle w:val="ListBullet"/>
        <w:widowControl/>
        <w:spacing w:after="60"/>
      </w:pPr>
      <w:r>
        <w:rPr>
          <w:rFonts w:ascii="Calibri" w:hAnsi="Calibri"/>
          <w:b w:val="0"/>
          <w:i w:val="0"/>
          <w:color w:val="111827"/>
          <w:sz w:val="20"/>
        </w:rPr>
        <w:t>Quality flag OK, LOW_CONFIDENCE veya MISSING değerlerinden biridir. Eksik kalite bilgisinin varsayılan olarak OK kabul edilmesi yasaktır.</w:t>
      </w:r>
    </w:p>
    <w:p>
      <w:pPr>
        <w:pStyle w:val="ListBullet"/>
        <w:widowControl/>
        <w:spacing w:after="60"/>
      </w:pPr>
      <w:r>
        <w:rPr>
          <w:rFonts w:ascii="Calibri" w:hAnsi="Calibri"/>
          <w:b w:val="0"/>
          <w:i w:val="0"/>
          <w:color w:val="111827"/>
          <w:sz w:val="20"/>
        </w:rPr>
        <w:t>Zaman ve coğrafi referans bütün sistemde açık taşınır: UTC timestamp, year-season anahtarı, source CRS, eş-alan analysis CRS, dönüşüm/grid sürümü, çözünürlük ve AOI sürümü zorunlu metadata'dır.</w:t>
      </w:r>
    </w:p>
    <w:p>
      <w:pPr>
        <w:pStyle w:val="ListBullet"/>
        <w:widowControl/>
        <w:spacing w:after="60"/>
      </w:pPr>
      <w:r>
        <w:rPr>
          <w:rFonts w:ascii="Calibri" w:hAnsi="Calibri"/>
          <w:b w:val="0"/>
          <w:i w:val="0"/>
          <w:color w:val="111827"/>
          <w:sz w:val="20"/>
        </w:rPr>
        <w:t>GHSL/GISD30 için command, artifact ve sonuç şemaları comparison namespace'indedir; primary TimeSeriesDataset veya ForecastRun bu artifact türlerini girdi olarak kabul etmez.</w:t>
      </w:r>
    </w:p>
    <w:p>
      <w:pPr>
        <w:pStyle w:val="Heading2"/>
        <w:keepNext/>
      </w:pPr>
      <w:r>
        <w:t>3.3 Hardware / software mapping</w:t>
      </w:r>
    </w:p>
    <w:p>
      <w:pPr>
        <w:widowControl/>
        <w:jc w:val="both"/>
      </w:pPr>
      <w:r>
        <w:rPr>
          <w:rFonts w:ascii="Calibri" w:hAnsi="Calibri"/>
          <w:b w:val="0"/>
          <w:i w:val="0"/>
          <w:color w:val="111827"/>
          <w:sz w:val="20"/>
        </w:rPr>
        <w:t>Temel dağıtım tek bir kampüs iş istasyonu veya sunucusunda konteynerlerle çalışır. Reverse proxy yalnız HTTPS girişini kabul eder; API, PostgreSQL, Redis ve nesne deposu özel ağdadır. CPU worker ön işleme ve rapor üretimini, GPU worker eğitim ve çıkarımı yürütür. GPU aynı fiziksel makinedeyse ayrı container/işlem sınırı korunur; üniversite GPU kaynağı kullanılıyorsa job payloadı ve signed artifact erişimi üzerinden uzak worker bağlanır.</w:t>
      </w:r>
    </w:p>
    <w:p>
      <w:pPr>
        <w:keepNext/>
        <w:jc w:val="center"/>
      </w:pPr>
      <w:r>
        <w:drawing>
          <wp:inline xmlns:a="http://schemas.openxmlformats.org/drawingml/2006/main" xmlns:pic="http://schemas.openxmlformats.org/drawingml/2006/picture">
            <wp:extent cx="6080760" cy="4126230"/>
            <wp:docPr id="4" name="Picture 4"/>
            <wp:cNvGraphicFramePr>
              <a:graphicFrameLocks noChangeAspect="1"/>
            </wp:cNvGraphicFramePr>
            <a:graphic>
              <a:graphicData uri="http://schemas.openxmlformats.org/drawingml/2006/picture">
                <pic:pic>
                  <pic:nvPicPr>
                    <pic:cNvPr id="0" name="deployment_diagram.png"/>
                    <pic:cNvPicPr/>
                  </pic:nvPicPr>
                  <pic:blipFill>
                    <a:blip r:embed="rId14"/>
                    <a:stretch>
                      <a:fillRect/>
                    </a:stretch>
                  </pic:blipFill>
                  <pic:spPr>
                    <a:xfrm>
                      <a:off x="0" y="0"/>
                      <a:ext cx="6080760" cy="4126230"/>
                    </a:xfrm>
                    <a:prstGeom prst="rect"/>
                  </pic:spPr>
                </pic:pic>
              </a:graphicData>
            </a:graphic>
          </wp:inline>
        </w:drawing>
      </w:r>
    </w:p>
    <w:p>
      <w:pPr>
        <w:pStyle w:val="Caption"/>
        <w:spacing w:before="40" w:after="160"/>
        <w:jc w:val="center"/>
      </w:pPr>
      <w:r>
        <w:t>Şekil 3. Önerilen UML deployment diyagramı, düğümler ve güven sınırları.</w:t>
      </w:r>
    </w:p>
    <w:tbl>
      <w:tblPr>
        <w:tblStyle w:val="TableGrid"/>
        <w:jc w:val="left"/>
        <w:tblLook w:firstColumn="1" w:firstRow="1" w:lastColumn="0" w:lastRow="0" w:noHBand="0" w:noVBand="1" w:val="04A0"/>
        <w:tblW w:w="9475" w:type="dxa"/>
        <w:tblInd w:w="120" w:type="dxa"/>
        <w:tblLayout w:type="fixed"/>
      </w:tblPr>
      <w:tblGrid>
        <w:gridCol w:w="1655"/>
        <w:gridCol w:w="2376"/>
        <w:gridCol w:w="2520"/>
        <w:gridCol w:w="2923"/>
      </w:tblGrid>
      <w:tr>
        <w:trPr>
          <w:tblHeader w:val="true"/>
        </w:trPr>
        <w:tc>
          <w:tcPr>
            <w:tcW w:type="dxa" w:w="1655"/>
            <w:tcMar>
              <w:top w:w="72" w:type="dxa"/>
              <w:start w:w="110" w:type="dxa"/>
              <w:bottom w:w="72" w:type="dxa"/>
              <w:end w:w="110" w:type="dxa"/>
            </w:tcMar>
            <w:vAlign w:val="center"/>
            <w:shd w:fill="0C2854"/>
          </w:tcPr>
          <w:p>
            <w:pPr>
              <w:spacing w:after="0"/>
              <w:jc w:val="center"/>
            </w:pPr>
            <w:r>
              <w:rPr>
                <w:rFonts w:ascii="Calibri" w:hAnsi="Calibri"/>
                <w:b/>
                <w:i w:val="0"/>
                <w:color w:val="FFFFFF"/>
                <w:sz w:val="16"/>
              </w:rPr>
              <w:t>Düğüm</w:t>
            </w:r>
          </w:p>
        </w:tc>
        <w:tc>
          <w:tcPr>
            <w:tcW w:type="dxa" w:w="2376"/>
            <w:tcMar>
              <w:top w:w="72" w:type="dxa"/>
              <w:start w:w="110" w:type="dxa"/>
              <w:bottom w:w="72" w:type="dxa"/>
              <w:end w:w="110" w:type="dxa"/>
            </w:tcMar>
            <w:vAlign w:val="center"/>
            <w:shd w:fill="0C2854"/>
          </w:tcPr>
          <w:p>
            <w:pPr>
              <w:spacing w:after="0"/>
              <w:jc w:val="center"/>
            </w:pPr>
            <w:r>
              <w:rPr>
                <w:rFonts w:ascii="Calibri" w:hAnsi="Calibri"/>
                <w:b/>
                <w:i w:val="0"/>
                <w:color w:val="FFFFFF"/>
                <w:sz w:val="16"/>
              </w:rPr>
              <w:t>Yazılım</w:t>
            </w:r>
          </w:p>
        </w:tc>
        <w:tc>
          <w:tcPr>
            <w:tcW w:type="dxa" w:w="2520"/>
            <w:tcMar>
              <w:top w:w="72" w:type="dxa"/>
              <w:start w:w="110" w:type="dxa"/>
              <w:bottom w:w="72" w:type="dxa"/>
              <w:end w:w="110" w:type="dxa"/>
            </w:tcMar>
            <w:vAlign w:val="center"/>
            <w:shd w:fill="0C2854"/>
          </w:tcPr>
          <w:p>
            <w:pPr>
              <w:spacing w:after="0"/>
              <w:jc w:val="center"/>
            </w:pPr>
            <w:r>
              <w:rPr>
                <w:rFonts w:ascii="Calibri" w:hAnsi="Calibri"/>
                <w:b/>
                <w:i w:val="0"/>
                <w:color w:val="FFFFFF"/>
                <w:sz w:val="16"/>
              </w:rPr>
              <w:t>Başlangıç kapasitesi</w:t>
            </w:r>
          </w:p>
        </w:tc>
        <w:tc>
          <w:tcPr>
            <w:tcW w:type="dxa" w:w="2923"/>
            <w:tcMar>
              <w:top w:w="72" w:type="dxa"/>
              <w:start w:w="110" w:type="dxa"/>
              <w:bottom w:w="72" w:type="dxa"/>
              <w:end w:w="110" w:type="dxa"/>
            </w:tcMar>
            <w:vAlign w:val="center"/>
            <w:shd w:fill="0C2854"/>
          </w:tcPr>
          <w:p>
            <w:pPr>
              <w:spacing w:after="0"/>
              <w:jc w:val="center"/>
            </w:pPr>
            <w:r>
              <w:rPr>
                <w:rFonts w:ascii="Calibri" w:hAnsi="Calibri"/>
                <w:b/>
                <w:i w:val="0"/>
                <w:color w:val="FFFFFF"/>
                <w:sz w:val="16"/>
              </w:rPr>
              <w:t>Ölçekleme / hata alanı</w:t>
            </w:r>
          </w:p>
        </w:tc>
      </w:tr>
      <w:tr>
        <w:tc>
          <w:tcPr>
            <w:tcW w:type="dxa" w:w="1655"/>
          </w:tcPr>
          <w:p>
            <w:pPr>
              <w:spacing w:after="0"/>
              <w:jc w:val="left"/>
            </w:pPr>
            <w:r>
              <w:rPr>
                <w:rFonts w:ascii="Calibri" w:hAnsi="Calibri"/>
                <w:b/>
                <w:i w:val="0"/>
                <w:color w:val="111827"/>
                <w:sz w:val="16"/>
              </w:rPr>
              <w:t>Kullanıcı cihazı</w:t>
            </w:r>
          </w:p>
        </w:tc>
        <w:tc>
          <w:tcPr>
            <w:tcW w:type="dxa" w:w="2376"/>
          </w:tcPr>
          <w:p>
            <w:pPr>
              <w:spacing w:after="0"/>
              <w:jc w:val="left"/>
            </w:pPr>
            <w:r>
              <w:rPr>
                <w:rFonts w:ascii="Calibri" w:hAnsi="Calibri"/>
                <w:b w:val="0"/>
                <w:i w:val="0"/>
                <w:color w:val="111827"/>
                <w:sz w:val="16"/>
              </w:rPr>
              <w:t>Güncel tarayıcı</w:t>
            </w:r>
          </w:p>
        </w:tc>
        <w:tc>
          <w:tcPr>
            <w:tcW w:type="dxa" w:w="2520"/>
          </w:tcPr>
          <w:p>
            <w:pPr>
              <w:spacing w:after="0"/>
              <w:jc w:val="left"/>
            </w:pPr>
            <w:r>
              <w:rPr>
                <w:rFonts w:ascii="Calibri" w:hAnsi="Calibri"/>
                <w:b w:val="0"/>
                <w:i w:val="0"/>
                <w:color w:val="111827"/>
                <w:sz w:val="16"/>
              </w:rPr>
              <w:t>Tek teknik operatör; çoklu kullanıcı kapasitesi doğrulanmadı</w:t>
            </w:r>
          </w:p>
        </w:tc>
        <w:tc>
          <w:tcPr>
            <w:tcW w:type="dxa" w:w="2923"/>
          </w:tcPr>
          <w:p>
            <w:pPr>
              <w:spacing w:after="0"/>
              <w:jc w:val="left"/>
            </w:pPr>
            <w:r>
              <w:rPr>
                <w:rFonts w:ascii="Calibri" w:hAnsi="Calibri"/>
                <w:b w:val="0"/>
                <w:i w:val="0"/>
                <w:color w:val="111827"/>
                <w:sz w:val="16"/>
              </w:rPr>
              <w:t>Sunucu durumundan bağımsız; yalnız HTTPS</w:t>
            </w:r>
          </w:p>
        </w:tc>
      </w:tr>
      <w:tr>
        <w:tc>
          <w:tcPr>
            <w:tcW w:type="dxa" w:w="1655"/>
            <w:shd w:fill="F4F7FB"/>
          </w:tcPr>
          <w:p>
            <w:pPr>
              <w:spacing w:after="0"/>
              <w:jc w:val="left"/>
            </w:pPr>
            <w:r>
              <w:rPr>
                <w:rFonts w:ascii="Calibri" w:hAnsi="Calibri"/>
                <w:b/>
                <w:i w:val="0"/>
                <w:color w:val="111827"/>
                <w:sz w:val="16"/>
              </w:rPr>
              <w:t>Reverse proxy</w:t>
            </w:r>
          </w:p>
        </w:tc>
        <w:tc>
          <w:tcPr>
            <w:tcW w:type="dxa" w:w="2376"/>
            <w:shd w:fill="F4F7FB"/>
          </w:tcPr>
          <w:p>
            <w:pPr>
              <w:spacing w:after="0"/>
              <w:jc w:val="left"/>
            </w:pPr>
            <w:r>
              <w:rPr>
                <w:rFonts w:ascii="Calibri" w:hAnsi="Calibri"/>
                <w:b w:val="0"/>
                <w:i w:val="0"/>
                <w:color w:val="111827"/>
                <w:sz w:val="16"/>
              </w:rPr>
              <w:t>Nginx/Caddy eşdeğeri</w:t>
            </w:r>
          </w:p>
        </w:tc>
        <w:tc>
          <w:tcPr>
            <w:tcW w:type="dxa" w:w="2520"/>
            <w:shd w:fill="F4F7FB"/>
          </w:tcPr>
          <w:p>
            <w:pPr>
              <w:spacing w:after="0"/>
              <w:jc w:val="left"/>
            </w:pPr>
            <w:r>
              <w:rPr>
                <w:rFonts w:ascii="Calibri" w:hAnsi="Calibri"/>
                <w:b w:val="0"/>
                <w:i w:val="0"/>
                <w:color w:val="111827"/>
                <w:sz w:val="16"/>
              </w:rPr>
              <w:t>TLS + host/kampüs erişim kapısı; upload limiti konfigüre edilir</w:t>
            </w:r>
          </w:p>
        </w:tc>
        <w:tc>
          <w:tcPr>
            <w:tcW w:type="dxa" w:w="2923"/>
            <w:shd w:fill="F4F7FB"/>
          </w:tcPr>
          <w:p>
            <w:pPr>
              <w:spacing w:after="0"/>
              <w:jc w:val="left"/>
            </w:pPr>
            <w:r>
              <w:rPr>
                <w:rFonts w:ascii="Calibri" w:hAnsi="Calibri"/>
                <w:b w:val="0"/>
                <w:i w:val="0"/>
                <w:color w:val="111827"/>
                <w:sz w:val="16"/>
              </w:rPr>
              <w:t>Stateless; yeniden başlatılabilir</w:t>
            </w:r>
          </w:p>
        </w:tc>
      </w:tr>
      <w:tr>
        <w:tc>
          <w:tcPr>
            <w:tcW w:type="dxa" w:w="1655"/>
          </w:tcPr>
          <w:p>
            <w:pPr>
              <w:spacing w:after="0"/>
              <w:jc w:val="left"/>
            </w:pPr>
            <w:r>
              <w:rPr>
                <w:rFonts w:ascii="Calibri" w:hAnsi="Calibri"/>
                <w:b/>
                <w:i w:val="0"/>
                <w:color w:val="111827"/>
                <w:sz w:val="16"/>
              </w:rPr>
              <w:t>Web/API</w:t>
            </w:r>
          </w:p>
        </w:tc>
        <w:tc>
          <w:tcPr>
            <w:tcW w:type="dxa" w:w="2376"/>
          </w:tcPr>
          <w:p>
            <w:pPr>
              <w:spacing w:after="0"/>
              <w:jc w:val="left"/>
            </w:pPr>
            <w:r>
              <w:rPr>
                <w:rFonts w:ascii="Calibri" w:hAnsi="Calibri"/>
                <w:b w:val="0"/>
                <w:i w:val="0"/>
                <w:color w:val="111827"/>
                <w:sz w:val="16"/>
              </w:rPr>
              <w:t>Python 3.9+, Flask/WSGI</w:t>
            </w:r>
          </w:p>
        </w:tc>
        <w:tc>
          <w:tcPr>
            <w:tcW w:type="dxa" w:w="2520"/>
          </w:tcPr>
          <w:p>
            <w:pPr>
              <w:spacing w:after="0"/>
              <w:jc w:val="left"/>
            </w:pPr>
            <w:r>
              <w:rPr>
                <w:rFonts w:ascii="Calibri" w:hAnsi="Calibri"/>
                <w:b w:val="0"/>
                <w:i w:val="0"/>
                <w:color w:val="111827"/>
                <w:sz w:val="16"/>
              </w:rPr>
              <w:t>2-4 CPU, 4-8 GB RAM başlangıç varsayımı</w:t>
            </w:r>
          </w:p>
        </w:tc>
        <w:tc>
          <w:tcPr>
            <w:tcW w:type="dxa" w:w="2923"/>
          </w:tcPr>
          <w:p>
            <w:pPr>
              <w:spacing w:after="0"/>
              <w:jc w:val="left"/>
            </w:pPr>
            <w:r>
              <w:rPr>
                <w:rFonts w:ascii="Calibri" w:hAnsi="Calibri"/>
                <w:b w:val="0"/>
                <w:i w:val="0"/>
                <w:color w:val="111827"/>
                <w:sz w:val="16"/>
              </w:rPr>
              <w:t>Ölçümle doğrulanacak; sticky session gerekmez</w:t>
            </w:r>
          </w:p>
        </w:tc>
      </w:tr>
      <w:tr>
        <w:tc>
          <w:tcPr>
            <w:tcW w:type="dxa" w:w="1655"/>
            <w:shd w:fill="F4F7FB"/>
          </w:tcPr>
          <w:p>
            <w:pPr>
              <w:spacing w:after="0"/>
              <w:jc w:val="left"/>
            </w:pPr>
            <w:r>
              <w:rPr>
                <w:rFonts w:ascii="Calibri" w:hAnsi="Calibri"/>
                <w:b/>
                <w:i w:val="0"/>
                <w:color w:val="111827"/>
                <w:sz w:val="16"/>
              </w:rPr>
              <w:t>CPU worker</w:t>
            </w:r>
          </w:p>
        </w:tc>
        <w:tc>
          <w:tcPr>
            <w:tcW w:type="dxa" w:w="2376"/>
            <w:shd w:fill="F4F7FB"/>
          </w:tcPr>
          <w:p>
            <w:pPr>
              <w:spacing w:after="0"/>
              <w:jc w:val="left"/>
            </w:pPr>
            <w:r>
              <w:rPr>
                <w:rFonts w:ascii="Calibri" w:hAnsi="Calibri"/>
                <w:b w:val="0"/>
                <w:i w:val="0"/>
                <w:color w:val="111827"/>
                <w:sz w:val="16"/>
              </w:rPr>
              <w:t>Celery worker, rasterio/GeoPandas</w:t>
            </w:r>
          </w:p>
        </w:tc>
        <w:tc>
          <w:tcPr>
            <w:tcW w:type="dxa" w:w="2520"/>
            <w:shd w:fill="F4F7FB"/>
          </w:tcPr>
          <w:p>
            <w:pPr>
              <w:spacing w:after="0"/>
              <w:jc w:val="left"/>
            </w:pPr>
            <w:r>
              <w:rPr>
                <w:rFonts w:ascii="Calibri" w:hAnsi="Calibri"/>
                <w:b w:val="0"/>
                <w:i w:val="0"/>
                <w:color w:val="111827"/>
                <w:sz w:val="16"/>
              </w:rPr>
              <w:t>8+ CPU, 16-32 GB RAM başlangıç varsayımı</w:t>
            </w:r>
          </w:p>
        </w:tc>
        <w:tc>
          <w:tcPr>
            <w:tcW w:type="dxa" w:w="2923"/>
            <w:shd w:fill="F4F7FB"/>
          </w:tcPr>
          <w:p>
            <w:pPr>
              <w:spacing w:after="0"/>
              <w:jc w:val="left"/>
            </w:pPr>
            <w:r>
              <w:rPr>
                <w:rFonts w:ascii="Calibri" w:hAnsi="Calibri"/>
                <w:b w:val="0"/>
                <w:i w:val="0"/>
                <w:color w:val="111827"/>
                <w:sz w:val="16"/>
              </w:rPr>
              <w:t>Ölçümle doğrulanacak; idempotent retry</w:t>
            </w:r>
          </w:p>
        </w:tc>
      </w:tr>
      <w:tr>
        <w:tc>
          <w:tcPr>
            <w:tcW w:type="dxa" w:w="1655"/>
          </w:tcPr>
          <w:p>
            <w:pPr>
              <w:spacing w:after="0"/>
              <w:jc w:val="left"/>
            </w:pPr>
            <w:r>
              <w:rPr>
                <w:rFonts w:ascii="Calibri" w:hAnsi="Calibri"/>
                <w:b/>
                <w:i w:val="0"/>
                <w:color w:val="111827"/>
                <w:sz w:val="16"/>
              </w:rPr>
              <w:t>GPU worker</w:t>
            </w:r>
          </w:p>
        </w:tc>
        <w:tc>
          <w:tcPr>
            <w:tcW w:type="dxa" w:w="2376"/>
          </w:tcPr>
          <w:p>
            <w:pPr>
              <w:spacing w:after="0"/>
              <w:jc w:val="left"/>
            </w:pPr>
            <w:r>
              <w:rPr>
                <w:rFonts w:ascii="Calibri" w:hAnsi="Calibri"/>
                <w:b w:val="0"/>
                <w:i w:val="0"/>
                <w:color w:val="111827"/>
                <w:sz w:val="16"/>
              </w:rPr>
              <w:t>PyTorch 2+, CUDA</w:t>
            </w:r>
          </w:p>
        </w:tc>
        <w:tc>
          <w:tcPr>
            <w:tcW w:type="dxa" w:w="2520"/>
          </w:tcPr>
          <w:p>
            <w:pPr>
              <w:spacing w:after="0"/>
              <w:jc w:val="left"/>
            </w:pPr>
            <w:r>
              <w:rPr>
                <w:rFonts w:ascii="Calibri" w:hAnsi="Calibri"/>
                <w:b w:val="0"/>
                <w:i w:val="0"/>
                <w:color w:val="111827"/>
                <w:sz w:val="16"/>
              </w:rPr>
              <w:t>NVIDIA GPU, 8-16 GB VRAM</w:t>
            </w:r>
          </w:p>
        </w:tc>
        <w:tc>
          <w:tcPr>
            <w:tcW w:type="dxa" w:w="2923"/>
          </w:tcPr>
          <w:p>
            <w:pPr>
              <w:spacing w:after="0"/>
              <w:jc w:val="left"/>
            </w:pPr>
            <w:r>
              <w:rPr>
                <w:rFonts w:ascii="Calibri" w:hAnsi="Calibri"/>
                <w:b w:val="0"/>
                <w:i w:val="0"/>
                <w:color w:val="111827"/>
                <w:sz w:val="16"/>
              </w:rPr>
              <w:t>Tek eşzamanlı eğitim; inference için kontrollü concurrency</w:t>
            </w:r>
          </w:p>
        </w:tc>
      </w:tr>
      <w:tr>
        <w:tc>
          <w:tcPr>
            <w:tcW w:type="dxa" w:w="1655"/>
            <w:shd w:fill="F4F7FB"/>
          </w:tcPr>
          <w:p>
            <w:pPr>
              <w:spacing w:after="0"/>
              <w:jc w:val="left"/>
            </w:pPr>
            <w:r>
              <w:rPr>
                <w:rFonts w:ascii="Calibri" w:hAnsi="Calibri"/>
                <w:b/>
                <w:i w:val="0"/>
                <w:color w:val="111827"/>
                <w:sz w:val="16"/>
              </w:rPr>
              <w:t>PostgreSQL/PostGIS</w:t>
            </w:r>
          </w:p>
        </w:tc>
        <w:tc>
          <w:tcPr>
            <w:tcW w:type="dxa" w:w="2376"/>
            <w:shd w:fill="F4F7FB"/>
          </w:tcPr>
          <w:p>
            <w:pPr>
              <w:spacing w:after="0"/>
              <w:jc w:val="left"/>
            </w:pPr>
            <w:r>
              <w:rPr>
                <w:rFonts w:ascii="Calibri" w:hAnsi="Calibri"/>
                <w:b w:val="0"/>
                <w:i w:val="0"/>
                <w:color w:val="111827"/>
                <w:sz w:val="16"/>
              </w:rPr>
              <w:t>PostgreSQL 16+, PostGIS</w:t>
            </w:r>
          </w:p>
        </w:tc>
        <w:tc>
          <w:tcPr>
            <w:tcW w:type="dxa" w:w="2520"/>
            <w:shd w:fill="F4F7FB"/>
          </w:tcPr>
          <w:p>
            <w:pPr>
              <w:spacing w:after="0"/>
              <w:jc w:val="left"/>
            </w:pPr>
            <w:r>
              <w:rPr>
                <w:rFonts w:ascii="Calibri" w:hAnsi="Calibri"/>
                <w:b w:val="0"/>
                <w:i w:val="0"/>
                <w:color w:val="111827"/>
                <w:sz w:val="16"/>
              </w:rPr>
              <w:t>Kapasite ölçüm sonrası boyutlandırılır</w:t>
            </w:r>
          </w:p>
        </w:tc>
        <w:tc>
          <w:tcPr>
            <w:tcW w:type="dxa" w:w="2923"/>
            <w:shd w:fill="F4F7FB"/>
          </w:tcPr>
          <w:p>
            <w:pPr>
              <w:spacing w:after="0"/>
              <w:jc w:val="left"/>
            </w:pPr>
            <w:r>
              <w:rPr>
                <w:rFonts w:ascii="Calibri" w:hAnsi="Calibri"/>
                <w:b w:val="0"/>
                <w:i w:val="0"/>
                <w:color w:val="111827"/>
                <w:sz w:val="16"/>
              </w:rPr>
              <w:t>Tek instance + doğrulanmış backup; internete kapalı</w:t>
            </w:r>
          </w:p>
        </w:tc>
      </w:tr>
      <w:tr>
        <w:tc>
          <w:tcPr>
            <w:tcW w:type="dxa" w:w="1655"/>
          </w:tcPr>
          <w:p>
            <w:pPr>
              <w:spacing w:after="0"/>
              <w:jc w:val="left"/>
            </w:pPr>
            <w:r>
              <w:rPr>
                <w:rFonts w:ascii="Calibri" w:hAnsi="Calibri"/>
                <w:b/>
                <w:i w:val="0"/>
                <w:color w:val="111827"/>
                <w:sz w:val="16"/>
              </w:rPr>
              <w:t>Object storage</w:t>
            </w:r>
          </w:p>
        </w:tc>
        <w:tc>
          <w:tcPr>
            <w:tcW w:type="dxa" w:w="2376"/>
          </w:tcPr>
          <w:p>
            <w:pPr>
              <w:spacing w:after="0"/>
              <w:jc w:val="left"/>
            </w:pPr>
            <w:r>
              <w:rPr>
                <w:rFonts w:ascii="Calibri" w:hAnsi="Calibri"/>
                <w:b w:val="0"/>
                <w:i w:val="0"/>
                <w:color w:val="111827"/>
                <w:sz w:val="16"/>
              </w:rPr>
              <w:t>MinIO/S3/NAS adapter</w:t>
            </w:r>
          </w:p>
        </w:tc>
        <w:tc>
          <w:tcPr>
            <w:tcW w:type="dxa" w:w="2520"/>
          </w:tcPr>
          <w:p>
            <w:pPr>
              <w:spacing w:after="0"/>
              <w:jc w:val="left"/>
            </w:pPr>
            <w:r>
              <w:rPr>
                <w:rFonts w:ascii="Calibri" w:hAnsi="Calibri"/>
                <w:b w:val="0"/>
                <w:i w:val="0"/>
                <w:color w:val="111827"/>
                <w:sz w:val="16"/>
              </w:rPr>
              <w:t>Raster/model hacmi deneyle ölçülür</w:t>
            </w:r>
          </w:p>
        </w:tc>
        <w:tc>
          <w:tcPr>
            <w:tcW w:type="dxa" w:w="2923"/>
          </w:tcPr>
          <w:p>
            <w:pPr>
              <w:spacing w:after="0"/>
              <w:jc w:val="left"/>
            </w:pPr>
            <w:r>
              <w:rPr>
                <w:rFonts w:ascii="Calibri" w:hAnsi="Calibri"/>
                <w:b w:val="0"/>
                <w:i w:val="0"/>
                <w:color w:val="111827"/>
                <w:sz w:val="16"/>
              </w:rPr>
              <w:t>Versioning/lifecycle; ayrı backup failure domain</w:t>
            </w:r>
          </w:p>
        </w:tc>
      </w:tr>
      <w:tr>
        <w:tc>
          <w:tcPr>
            <w:tcW w:type="dxa" w:w="1655"/>
            <w:shd w:fill="F4F7FB"/>
          </w:tcPr>
          <w:p>
            <w:pPr>
              <w:spacing w:after="0"/>
              <w:jc w:val="left"/>
            </w:pPr>
            <w:r>
              <w:rPr>
                <w:rFonts w:ascii="Calibri" w:hAnsi="Calibri"/>
                <w:b/>
                <w:i w:val="0"/>
                <w:color w:val="111827"/>
                <w:sz w:val="16"/>
              </w:rPr>
              <w:t>Redis</w:t>
            </w:r>
          </w:p>
        </w:tc>
        <w:tc>
          <w:tcPr>
            <w:tcW w:type="dxa" w:w="2376"/>
            <w:shd w:fill="F4F7FB"/>
          </w:tcPr>
          <w:p>
            <w:pPr>
              <w:spacing w:after="0"/>
              <w:jc w:val="left"/>
            </w:pPr>
            <w:r>
              <w:rPr>
                <w:rFonts w:ascii="Calibri" w:hAnsi="Calibri"/>
                <w:b w:val="0"/>
                <w:i w:val="0"/>
                <w:color w:val="111827"/>
                <w:sz w:val="16"/>
              </w:rPr>
              <w:t>Redis 7+</w:t>
            </w:r>
          </w:p>
        </w:tc>
        <w:tc>
          <w:tcPr>
            <w:tcW w:type="dxa" w:w="2520"/>
            <w:shd w:fill="F4F7FB"/>
          </w:tcPr>
          <w:p>
            <w:pPr>
              <w:spacing w:after="0"/>
              <w:jc w:val="left"/>
            </w:pPr>
            <w:r>
              <w:rPr>
                <w:rFonts w:ascii="Calibri" w:hAnsi="Calibri"/>
                <w:b w:val="0"/>
                <w:i w:val="0"/>
                <w:color w:val="111827"/>
                <w:sz w:val="16"/>
              </w:rPr>
              <w:t>Queue/cache; kalıcı kayıt değil</w:t>
            </w:r>
          </w:p>
        </w:tc>
        <w:tc>
          <w:tcPr>
            <w:tcW w:type="dxa" w:w="2923"/>
            <w:shd w:fill="F4F7FB"/>
          </w:tcPr>
          <w:p>
            <w:pPr>
              <w:spacing w:after="0"/>
              <w:jc w:val="left"/>
            </w:pPr>
            <w:r>
              <w:rPr>
                <w:rFonts w:ascii="Calibri" w:hAnsi="Calibri"/>
                <w:b w:val="0"/>
                <w:i w:val="0"/>
                <w:color w:val="111827"/>
                <w:sz w:val="16"/>
              </w:rPr>
              <w:t>Kaybı reconcile edilir; DB sistem kaydı</w:t>
            </w:r>
          </w:p>
        </w:tc>
      </w:tr>
    </w:tbl>
    <w:p>
      <w:pPr>
        <w:spacing w:after="20"/>
      </w:pPr>
    </w:p>
    <w:p>
      <w:pPr>
        <w:pStyle w:val="Heading3"/>
        <w:keepNext/>
      </w:pPr>
      <w:r>
        <w:t>3.3.1 Environment mapping</w:t>
      </w:r>
    </w:p>
    <w:p>
      <w:pPr>
        <w:widowControl/>
        <w:jc w:val="both"/>
      </w:pPr>
      <w:r>
        <w:rPr>
          <w:rFonts w:ascii="Calibri" w:hAnsi="Calibri"/>
          <w:b w:val="0"/>
          <w:i w:val="0"/>
          <w:color w:val="111827"/>
          <w:sz w:val="20"/>
        </w:rPr>
        <w:t>Geliştirme ortamı Docker Compose ile aynı servis adlarını kullanır; object storage yerel MinIO veya kontrollü dosya sistemi adapterı olabilir. Test ortamı sentetik/küçük raster fixture, CPU model ve izole veritabanıyla çalışır. Teslim/staging ortamı PostgreSQL/PostGIS, Redis ve object storage kullanır; TLS ile host/kampüs erişim kapısı zorunludur. Bu dağıtım ücretsiz akademik prototiptir; ücretli, yüksek erişilebilir veya operasyonel belediye hizmeti PKE kapsamı dışındadır. Environment farkları yalnız config/secrets ile sağlanır [4], [20].</w:t>
      </w:r>
    </w:p>
    <w:p>
      <w:pPr>
        <w:widowControl/>
        <w:jc w:val="both"/>
      </w:pPr>
      <w:r>
        <w:rPr>
          <w:rFonts w:ascii="Calibri" w:hAnsi="Calibri"/>
          <w:b w:val="0"/>
          <w:i w:val="0"/>
          <w:color w:val="111827"/>
          <w:sz w:val="20"/>
        </w:rPr>
        <w:t>Ankara'nın gerçek veriyle ön işleme + çıkarım uçtan uca koşusu tek GPU/iş istasyonunda 8 saatten kısa tamamlanmalıdır. Ölçüm, temiz cache ile başlatılan sürümlü bir acceptance run'da yapılır; başlangıç/bitiş, GPU/VRAM ve adım süreleri manifestte tutulur. Süre aşılırsa teslim kapısı başarısızdır; daha güçlü donanım varsayımıyla gizlenemez [3], [4].</w:t>
      </w:r>
    </w:p>
    <w:p>
      <w:pPr>
        <w:widowControl/>
        <w:jc w:val="both"/>
      </w:pPr>
      <w:r>
        <w:rPr>
          <w:rFonts w:ascii="Calibri" w:hAnsi="Calibri"/>
          <w:b w:val="0"/>
          <w:i w:val="0"/>
          <w:color w:val="111827"/>
          <w:sz w:val="20"/>
        </w:rPr>
        <w:t>Container imajları digest ile sabitlenir ve model checkpoint'i container içine gömülmez. Aynı uygulama imajı farklı ModelVersion artifactleriyle çalışabilir. Database migration uygulama başlamadan tek seferlik init job ile yürütülür. API worker migration çalıştırmaz; bu, eşzamanlı başlangıç yarışını ve yarım şema riskini önler.</w:t>
      </w:r>
    </w:p>
    <w:p>
      <w:pPr>
        <w:pStyle w:val="Heading2"/>
        <w:keepNext/>
      </w:pPr>
      <w:r>
        <w:t>3.4 Persistent data management</w:t>
      </w:r>
    </w:p>
    <w:p>
      <w:pPr>
        <w:pStyle w:val="Heading3"/>
        <w:keepNext/>
      </w:pPr>
      <w:r>
        <w:t>3.4.1 Database selection and rationale</w:t>
      </w:r>
    </w:p>
    <w:p>
      <w:pPr>
        <w:widowControl/>
        <w:jc w:val="both"/>
      </w:pPr>
      <w:r>
        <w:rPr>
          <w:rFonts w:ascii="Calibri" w:hAnsi="Calibri"/>
          <w:b w:val="0"/>
          <w:i w:val="0"/>
          <w:color w:val="111827"/>
          <w:sz w:val="20"/>
        </w:rPr>
        <w:t>Yetkili metadata deposu PostgreSQL 16+ ve PostGIS eklentisidir. Seçim yalnız 'iyi bir veritabanı' olduğu için değil, sistemin gerektirdiği işlemler nedeniyle yapılmıştır: proje-iş-model-artifact ilişkileri üzerinde transaction ve join; AOI geometry, kaynak/analiz CRS ve mekânsal indeks; JSONB ile sürümlü konfigürasyon; unique constraint ile idempotency; kimliksiz audit ve job state sorguları; olgun yedekleme ve geri yükleme. Uygulama kullanıcı hesabı veya kişisel subject tablosu tutmaz. PostgreSQL 16 WAL/PITR mekanizması ile PostGIS mekânsal veri türleri ve indeksleri bu seçimin doğrudan teknik dayanaklarıdır [18], [19].</w:t>
      </w:r>
    </w:p>
    <w:p>
      <w:pPr>
        <w:widowControl/>
        <w:jc w:val="both"/>
      </w:pPr>
      <w:r>
        <w:rPr>
          <w:rFonts w:ascii="Calibri" w:hAnsi="Calibri"/>
          <w:b w:val="0"/>
          <w:i w:val="0"/>
          <w:color w:val="111827"/>
          <w:sz w:val="20"/>
        </w:rPr>
        <w:t>SQLite geliştirme fixture'ı için kullanılabilir; ancak eşzamanlı writer, merkezi backup ve PostGIS gereksinimleri nedeniyle teslim ortamının veritabanı değildir. Document database, şema esnekliği sunsa da güçlü ilişkiler ve tutarlı iş geçişleri için ek uygulama mantığı gerektirir. Büyük GeoTIFF, Zarr ve checkpointlerin PostgreSQL BLOB içinde tutulması yedek ve vacuum yükünü artırır; bu nedenle nesne depolama ayrıdır. Redis performans ve kuyruk koordinasyonu içindir, kalıcı gerçeklik kaynağı değildir [16].</w:t>
      </w:r>
    </w:p>
    <w:p>
      <w:pPr>
        <w:keepNext/>
        <w:jc w:val="center"/>
      </w:pPr>
      <w:r>
        <w:drawing>
          <wp:inline xmlns:a="http://schemas.openxmlformats.org/drawingml/2006/main" xmlns:pic="http://schemas.openxmlformats.org/drawingml/2006/picture">
            <wp:extent cx="5989320" cy="4261632"/>
            <wp:docPr id="5" name="Picture 5"/>
            <wp:cNvGraphicFramePr>
              <a:graphicFrameLocks noChangeAspect="1"/>
            </wp:cNvGraphicFramePr>
            <a:graphic>
              <a:graphicData uri="http://schemas.openxmlformats.org/drawingml/2006/picture">
                <pic:pic>
                  <pic:nvPicPr>
                    <pic:cNvPr id="0" name="conceptual_data_model.png"/>
                    <pic:cNvPicPr/>
                  </pic:nvPicPr>
                  <pic:blipFill>
                    <a:blip r:embed="rId15"/>
                    <a:stretch>
                      <a:fillRect/>
                    </a:stretch>
                  </pic:blipFill>
                  <pic:spPr>
                    <a:xfrm>
                      <a:off x="0" y="0"/>
                      <a:ext cx="5989320" cy="4261632"/>
                    </a:xfrm>
                    <a:prstGeom prst="rect"/>
                  </pic:spPr>
                </pic:pic>
              </a:graphicData>
            </a:graphic>
          </wp:inline>
        </w:drawing>
      </w:r>
    </w:p>
    <w:p>
      <w:pPr>
        <w:pStyle w:val="Caption"/>
        <w:spacing w:before="40" w:after="160"/>
        <w:jc w:val="center"/>
      </w:pPr>
      <w:r>
        <w:t>Şekil 4. Kavramsal veri şeması; fiziksel indeksler ve kolon türleri LLD'de kesinleştirilir.</w:t>
      </w:r>
    </w:p>
    <w:tbl>
      <w:tblPr>
        <w:tblStyle w:val="TableGrid"/>
        <w:jc w:val="left"/>
        <w:tblLook w:firstColumn="1" w:firstRow="1" w:lastColumn="0" w:lastRow="0" w:noHBand="0" w:noVBand="1" w:val="04A0"/>
        <w:tblW w:w="9475" w:type="dxa"/>
        <w:tblInd w:w="120" w:type="dxa"/>
        <w:tblLayout w:type="fixed"/>
      </w:tblPr>
      <w:tblGrid>
        <w:gridCol w:w="1800"/>
        <w:gridCol w:w="3384"/>
        <w:gridCol w:w="2448"/>
        <w:gridCol w:w="1843"/>
      </w:tblGrid>
      <w:tr>
        <w:trPr>
          <w:tblHeader w:val="true"/>
        </w:trPr>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6"/>
              </w:rPr>
              <w:t>Varlık</w:t>
            </w:r>
          </w:p>
        </w:tc>
        <w:tc>
          <w:tcPr>
            <w:tcW w:type="dxa" w:w="3384"/>
            <w:tcMar>
              <w:top w:w="72" w:type="dxa"/>
              <w:start w:w="110" w:type="dxa"/>
              <w:bottom w:w="72" w:type="dxa"/>
              <w:end w:w="110" w:type="dxa"/>
            </w:tcMar>
            <w:vAlign w:val="center"/>
            <w:shd w:fill="0C2854"/>
          </w:tcPr>
          <w:p>
            <w:pPr>
              <w:spacing w:after="0"/>
              <w:jc w:val="center"/>
            </w:pPr>
            <w:r>
              <w:rPr>
                <w:rFonts w:ascii="Calibri" w:hAnsi="Calibri"/>
                <w:b/>
                <w:i w:val="0"/>
                <w:color w:val="FFFFFF"/>
                <w:sz w:val="16"/>
              </w:rPr>
              <w:t>Sahiplik ve içerik</w:t>
            </w:r>
          </w:p>
        </w:tc>
        <w:tc>
          <w:tcPr>
            <w:tcW w:type="dxa" w:w="2448"/>
            <w:tcMar>
              <w:top w:w="72" w:type="dxa"/>
              <w:start w:w="110" w:type="dxa"/>
              <w:bottom w:w="72" w:type="dxa"/>
              <w:end w:w="110" w:type="dxa"/>
            </w:tcMar>
            <w:vAlign w:val="center"/>
            <w:shd w:fill="0C2854"/>
          </w:tcPr>
          <w:p>
            <w:pPr>
              <w:spacing w:after="0"/>
              <w:jc w:val="center"/>
            </w:pPr>
            <w:r>
              <w:rPr>
                <w:rFonts w:ascii="Calibri" w:hAnsi="Calibri"/>
                <w:b/>
                <w:i w:val="0"/>
                <w:color w:val="FFFFFF"/>
                <w:sz w:val="16"/>
              </w:rPr>
              <w:t>Ana bütünlük kuralı</w:t>
            </w:r>
          </w:p>
        </w:tc>
        <w:tc>
          <w:tcPr>
            <w:tcW w:type="dxa" w:w="1843"/>
            <w:tcMar>
              <w:top w:w="72" w:type="dxa"/>
              <w:start w:w="110" w:type="dxa"/>
              <w:bottom w:w="72" w:type="dxa"/>
              <w:end w:w="110" w:type="dxa"/>
            </w:tcMar>
            <w:vAlign w:val="center"/>
            <w:shd w:fill="0C2854"/>
          </w:tcPr>
          <w:p>
            <w:pPr>
              <w:spacing w:after="0"/>
              <w:jc w:val="center"/>
            </w:pPr>
            <w:r>
              <w:rPr>
                <w:rFonts w:ascii="Calibri" w:hAnsi="Calibri"/>
                <w:b/>
                <w:i w:val="0"/>
                <w:color w:val="FFFFFF"/>
                <w:sz w:val="16"/>
              </w:rPr>
              <w:t>Saklama</w:t>
            </w:r>
          </w:p>
        </w:tc>
      </w:tr>
      <w:tr>
        <w:tc>
          <w:tcPr>
            <w:tcW w:type="dxa" w:w="1800"/>
          </w:tcPr>
          <w:p>
            <w:pPr>
              <w:spacing w:after="0"/>
              <w:jc w:val="left"/>
            </w:pPr>
            <w:r>
              <w:rPr>
                <w:rFonts w:ascii="Calibri" w:hAnsi="Calibri"/>
                <w:b/>
                <w:i w:val="0"/>
                <w:color w:val="111827"/>
                <w:sz w:val="16"/>
              </w:rPr>
              <w:t>AccessPolicy</w:t>
            </w:r>
          </w:p>
        </w:tc>
        <w:tc>
          <w:tcPr>
            <w:tcW w:type="dxa" w:w="3384"/>
          </w:tcPr>
          <w:p>
            <w:pPr>
              <w:spacing w:after="0"/>
              <w:jc w:val="left"/>
            </w:pPr>
            <w:r>
              <w:rPr>
                <w:rFonts w:ascii="Calibri" w:hAnsi="Calibri"/>
                <w:b w:val="0"/>
                <w:i w:val="0"/>
                <w:color w:val="111827"/>
                <w:sz w:val="16"/>
              </w:rPr>
              <w:t>Kişiyi tanımlamayan capability scope ve servis yetkisi</w:t>
            </w:r>
          </w:p>
        </w:tc>
        <w:tc>
          <w:tcPr>
            <w:tcW w:type="dxa" w:w="2448"/>
          </w:tcPr>
          <w:p>
            <w:pPr>
              <w:spacing w:after="0"/>
              <w:jc w:val="left"/>
            </w:pPr>
            <w:r>
              <w:rPr>
                <w:rFonts w:ascii="Calibri" w:hAnsi="Calibri"/>
                <w:b w:val="0"/>
                <w:i w:val="0"/>
                <w:color w:val="111827"/>
                <w:sz w:val="16"/>
              </w:rPr>
              <w:t>scope allow-list; kişisel subject/IP yok</w:t>
            </w:r>
          </w:p>
        </w:tc>
        <w:tc>
          <w:tcPr>
            <w:tcW w:type="dxa" w:w="1843"/>
          </w:tcPr>
          <w:p>
            <w:pPr>
              <w:spacing w:after="0"/>
              <w:jc w:val="left"/>
            </w:pPr>
            <w:r>
              <w:rPr>
                <w:rFonts w:ascii="Calibri" w:hAnsi="Calibri"/>
                <w:b w:val="0"/>
                <w:i w:val="0"/>
                <w:color w:val="111827"/>
                <w:sz w:val="16"/>
              </w:rPr>
              <w:t>Kısa ömürlü yetki kalıcılaştırılmaz; politika sürümü kurumca tutulur</w:t>
            </w:r>
          </w:p>
        </w:tc>
      </w:tr>
      <w:tr>
        <w:tc>
          <w:tcPr>
            <w:tcW w:type="dxa" w:w="1800"/>
            <w:shd w:fill="F4F7FB"/>
          </w:tcPr>
          <w:p>
            <w:pPr>
              <w:spacing w:after="0"/>
              <w:jc w:val="left"/>
            </w:pPr>
            <w:r>
              <w:rPr>
                <w:rFonts w:ascii="Calibri" w:hAnsi="Calibri"/>
                <w:b/>
                <w:i w:val="0"/>
                <w:color w:val="111827"/>
                <w:sz w:val="16"/>
              </w:rPr>
              <w:t>AnalysisProject</w:t>
            </w:r>
          </w:p>
        </w:tc>
        <w:tc>
          <w:tcPr>
            <w:tcW w:type="dxa" w:w="3384"/>
            <w:shd w:fill="F4F7FB"/>
          </w:tcPr>
          <w:p>
            <w:pPr>
              <w:spacing w:after="0"/>
              <w:jc w:val="left"/>
            </w:pPr>
            <w:r>
              <w:rPr>
                <w:rFonts w:ascii="Calibri" w:hAnsi="Calibri"/>
                <w:b w:val="0"/>
                <w:i w:val="0"/>
                <w:color w:val="111827"/>
                <w:sz w:val="16"/>
              </w:rPr>
              <w:t>AOI geometry, tarih, amaç ve lifecycle policy</w:t>
            </w:r>
          </w:p>
        </w:tc>
        <w:tc>
          <w:tcPr>
            <w:tcW w:type="dxa" w:w="2448"/>
            <w:shd w:fill="F4F7FB"/>
          </w:tcPr>
          <w:p>
            <w:pPr>
              <w:spacing w:after="0"/>
              <w:jc w:val="left"/>
            </w:pPr>
            <w:r>
              <w:rPr>
                <w:rFonts w:ascii="Calibri" w:hAnsi="Calibri"/>
                <w:b w:val="0"/>
                <w:i w:val="0"/>
                <w:color w:val="111827"/>
                <w:sz w:val="16"/>
              </w:rPr>
              <w:t>Geometri geçerli; source/analysis CRS açık; policy FK</w:t>
            </w:r>
          </w:p>
        </w:tc>
        <w:tc>
          <w:tcPr>
            <w:tcW w:type="dxa" w:w="1843"/>
            <w:shd w:fill="F4F7FB"/>
          </w:tcPr>
          <w:p>
            <w:pPr>
              <w:spacing w:after="0"/>
              <w:jc w:val="left"/>
            </w:pPr>
            <w:r>
              <w:rPr>
                <w:rFonts w:ascii="Calibri" w:hAnsi="Calibri"/>
                <w:b w:val="0"/>
                <w:i w:val="0"/>
                <w:color w:val="111827"/>
                <w:sz w:val="16"/>
              </w:rPr>
              <w:t>Ders/kurum politikası; sabit kişisel saklama süresi yok</w:t>
            </w:r>
          </w:p>
        </w:tc>
      </w:tr>
      <w:tr>
        <w:tc>
          <w:tcPr>
            <w:tcW w:type="dxa" w:w="1800"/>
          </w:tcPr>
          <w:p>
            <w:pPr>
              <w:spacing w:after="0"/>
              <w:jc w:val="left"/>
            </w:pPr>
            <w:r>
              <w:rPr>
                <w:rFonts w:ascii="Calibri" w:hAnsi="Calibri"/>
                <w:b/>
                <w:i w:val="0"/>
                <w:color w:val="111827"/>
                <w:sz w:val="16"/>
              </w:rPr>
              <w:t>JobRun</w:t>
            </w:r>
          </w:p>
        </w:tc>
        <w:tc>
          <w:tcPr>
            <w:tcW w:type="dxa" w:w="3384"/>
          </w:tcPr>
          <w:p>
            <w:pPr>
              <w:spacing w:after="0"/>
              <w:jc w:val="left"/>
            </w:pPr>
            <w:r>
              <w:rPr>
                <w:rFonts w:ascii="Calibri" w:hAnsi="Calibri"/>
                <w:b w:val="0"/>
                <w:i w:val="0"/>
                <w:color w:val="111827"/>
                <w:sz w:val="16"/>
              </w:rPr>
              <w:t>Tip, state, attempt, idempotency, timestamps</w:t>
            </w:r>
          </w:p>
        </w:tc>
        <w:tc>
          <w:tcPr>
            <w:tcW w:type="dxa" w:w="2448"/>
          </w:tcPr>
          <w:p>
            <w:pPr>
              <w:spacing w:after="0"/>
              <w:jc w:val="left"/>
            </w:pPr>
            <w:r>
              <w:rPr>
                <w:rFonts w:ascii="Calibri" w:hAnsi="Calibri"/>
                <w:b w:val="0"/>
                <w:i w:val="0"/>
                <w:color w:val="111827"/>
                <w:sz w:val="16"/>
              </w:rPr>
              <w:t>İzinli state transition; project+key unique</w:t>
            </w:r>
          </w:p>
        </w:tc>
        <w:tc>
          <w:tcPr>
            <w:tcW w:type="dxa" w:w="1843"/>
          </w:tcPr>
          <w:p>
            <w:pPr>
              <w:spacing w:after="0"/>
              <w:jc w:val="left"/>
            </w:pPr>
            <w:r>
              <w:rPr>
                <w:rFonts w:ascii="Calibri" w:hAnsi="Calibri"/>
                <w:b w:val="0"/>
                <w:i w:val="0"/>
                <w:color w:val="111827"/>
                <w:sz w:val="16"/>
              </w:rPr>
              <w:t>Proje ve tekrarlanabilirlik politikası</w:t>
            </w:r>
          </w:p>
        </w:tc>
      </w:tr>
      <w:tr>
        <w:tc>
          <w:tcPr>
            <w:tcW w:type="dxa" w:w="1800"/>
            <w:shd w:fill="F4F7FB"/>
          </w:tcPr>
          <w:p>
            <w:pPr>
              <w:spacing w:after="0"/>
              <w:jc w:val="left"/>
            </w:pPr>
            <w:r>
              <w:rPr>
                <w:rFonts w:ascii="Calibri" w:hAnsi="Calibri"/>
                <w:b/>
                <w:i w:val="0"/>
                <w:color w:val="111827"/>
                <w:sz w:val="16"/>
              </w:rPr>
              <w:t>SatelliteScene</w:t>
            </w:r>
          </w:p>
        </w:tc>
        <w:tc>
          <w:tcPr>
            <w:tcW w:type="dxa" w:w="3384"/>
            <w:shd w:fill="F4F7FB"/>
          </w:tcPr>
          <w:p>
            <w:pPr>
              <w:spacing w:after="0"/>
              <w:jc w:val="left"/>
            </w:pPr>
            <w:r>
              <w:rPr>
                <w:rFonts w:ascii="Calibri" w:hAnsi="Calibri"/>
                <w:b w:val="0"/>
                <w:i w:val="0"/>
                <w:color w:val="111827"/>
                <w:sz w:val="16"/>
              </w:rPr>
              <w:t>Provider kimliği, tarih, cloud, artifact</w:t>
            </w:r>
          </w:p>
        </w:tc>
        <w:tc>
          <w:tcPr>
            <w:tcW w:type="dxa" w:w="2448"/>
            <w:shd w:fill="F4F7FB"/>
          </w:tcPr>
          <w:p>
            <w:pPr>
              <w:spacing w:after="0"/>
              <w:jc w:val="left"/>
            </w:pPr>
            <w:r>
              <w:rPr>
                <w:rFonts w:ascii="Calibri" w:hAnsi="Calibri"/>
                <w:b w:val="0"/>
                <w:i w:val="0"/>
                <w:color w:val="111827"/>
                <w:sz w:val="16"/>
              </w:rPr>
              <w:t>provider scene id + processing baseline unique</w:t>
            </w:r>
          </w:p>
        </w:tc>
        <w:tc>
          <w:tcPr>
            <w:tcW w:type="dxa" w:w="1843"/>
            <w:shd w:fill="F4F7FB"/>
          </w:tcPr>
          <w:p>
            <w:pPr>
              <w:spacing w:after="0"/>
              <w:jc w:val="left"/>
            </w:pPr>
            <w:r>
              <w:rPr>
                <w:rFonts w:ascii="Calibri" w:hAnsi="Calibri"/>
                <w:b w:val="0"/>
                <w:i w:val="0"/>
                <w:color w:val="111827"/>
                <w:sz w:val="16"/>
              </w:rPr>
              <w:t>Kaynak/lisans ve kota politikasına göre</w:t>
            </w:r>
          </w:p>
        </w:tc>
      </w:tr>
      <w:tr>
        <w:tc>
          <w:tcPr>
            <w:tcW w:type="dxa" w:w="1800"/>
          </w:tcPr>
          <w:p>
            <w:pPr>
              <w:spacing w:after="0"/>
              <w:jc w:val="left"/>
            </w:pPr>
            <w:r>
              <w:rPr>
                <w:rFonts w:ascii="Calibri" w:hAnsi="Calibri"/>
                <w:b/>
                <w:i w:val="0"/>
                <w:color w:val="111827"/>
                <w:sz w:val="16"/>
              </w:rPr>
              <w:t>SeasonalComposite</w:t>
            </w:r>
          </w:p>
        </w:tc>
        <w:tc>
          <w:tcPr>
            <w:tcW w:type="dxa" w:w="3384"/>
          </w:tcPr>
          <w:p>
            <w:pPr>
              <w:spacing w:after="0"/>
              <w:jc w:val="left"/>
            </w:pPr>
            <w:r>
              <w:rPr>
                <w:rFonts w:ascii="Calibri" w:hAnsi="Calibri"/>
                <w:b w:val="0"/>
                <w:i w:val="0"/>
                <w:color w:val="111827"/>
                <w:sz w:val="16"/>
              </w:rPr>
              <w:t>Yıl, mevsim, quality, source/analysis CRS ve raster</w:t>
            </w:r>
          </w:p>
        </w:tc>
        <w:tc>
          <w:tcPr>
            <w:tcW w:type="dxa" w:w="2448"/>
          </w:tcPr>
          <w:p>
            <w:pPr>
              <w:spacing w:after="0"/>
              <w:jc w:val="left"/>
            </w:pPr>
            <w:r>
              <w:rPr>
                <w:rFonts w:ascii="Calibri" w:hAnsi="Calibri"/>
                <w:b w:val="0"/>
                <w:i w:val="0"/>
                <w:color w:val="111827"/>
                <w:sz w:val="16"/>
              </w:rPr>
              <w:t>project+year+season+pipeline/grid version unique</w:t>
            </w:r>
          </w:p>
        </w:tc>
        <w:tc>
          <w:tcPr>
            <w:tcW w:type="dxa" w:w="1843"/>
          </w:tcPr>
          <w:p>
            <w:pPr>
              <w:spacing w:after="0"/>
              <w:jc w:val="left"/>
            </w:pPr>
            <w:r>
              <w:rPr>
                <w:rFonts w:ascii="Calibri" w:hAnsi="Calibri"/>
                <w:b w:val="0"/>
                <w:i w:val="0"/>
                <w:color w:val="111827"/>
                <w:sz w:val="16"/>
              </w:rPr>
              <w:t>Türetilmiş çıktı; proje lifecycle</w:t>
            </w:r>
          </w:p>
        </w:tc>
      </w:tr>
      <w:tr>
        <w:tc>
          <w:tcPr>
            <w:tcW w:type="dxa" w:w="1800"/>
            <w:shd w:fill="F4F7FB"/>
          </w:tcPr>
          <w:p>
            <w:pPr>
              <w:spacing w:after="0"/>
              <w:jc w:val="left"/>
            </w:pPr>
            <w:r>
              <w:rPr>
                <w:rFonts w:ascii="Calibri" w:hAnsi="Calibri"/>
                <w:b/>
                <w:i w:val="0"/>
                <w:color w:val="111827"/>
                <w:sz w:val="16"/>
              </w:rPr>
              <w:t>ModelVersion</w:t>
            </w:r>
          </w:p>
        </w:tc>
        <w:tc>
          <w:tcPr>
            <w:tcW w:type="dxa" w:w="3384"/>
            <w:shd w:fill="F4F7FB"/>
          </w:tcPr>
          <w:p>
            <w:pPr>
              <w:spacing w:after="0"/>
              <w:jc w:val="left"/>
            </w:pPr>
            <w:r>
              <w:rPr>
                <w:rFonts w:ascii="Calibri" w:hAnsi="Calibri"/>
                <w:b w:val="0"/>
                <w:i w:val="0"/>
                <w:color w:val="111827"/>
                <w:sz w:val="16"/>
              </w:rPr>
              <w:t>Algorithm, season, config/code/data hash, metrics</w:t>
            </w:r>
          </w:p>
        </w:tc>
        <w:tc>
          <w:tcPr>
            <w:tcW w:type="dxa" w:w="2448"/>
            <w:shd w:fill="F4F7FB"/>
          </w:tcPr>
          <w:p>
            <w:pPr>
              <w:spacing w:after="0"/>
              <w:jc w:val="left"/>
            </w:pPr>
            <w:r>
              <w:rPr>
                <w:rFonts w:ascii="Calibri" w:hAnsi="Calibri"/>
                <w:b w:val="0"/>
                <w:i w:val="0"/>
                <w:color w:val="111827"/>
                <w:sz w:val="16"/>
              </w:rPr>
              <w:t>Model artifact immutable; status promotion kontrollü</w:t>
            </w:r>
          </w:p>
        </w:tc>
        <w:tc>
          <w:tcPr>
            <w:tcW w:type="dxa" w:w="1843"/>
            <w:shd w:fill="F4F7FB"/>
          </w:tcPr>
          <w:p>
            <w:pPr>
              <w:spacing w:after="0"/>
              <w:jc w:val="left"/>
            </w:pPr>
            <w:r>
              <w:rPr>
                <w:rFonts w:ascii="Calibri" w:hAnsi="Calibri"/>
                <w:b w:val="0"/>
                <w:i w:val="0"/>
                <w:color w:val="111827"/>
                <w:sz w:val="16"/>
              </w:rPr>
              <w:t>Ders/kurum ve tekrarlanabilirlik politikası</w:t>
            </w:r>
          </w:p>
        </w:tc>
      </w:tr>
      <w:tr>
        <w:tc>
          <w:tcPr>
            <w:tcW w:type="dxa" w:w="1800"/>
          </w:tcPr>
          <w:p>
            <w:pPr>
              <w:spacing w:after="0"/>
              <w:jc w:val="left"/>
            </w:pPr>
            <w:r>
              <w:rPr>
                <w:rFonts w:ascii="Calibri" w:hAnsi="Calibri"/>
                <w:b/>
                <w:i w:val="0"/>
                <w:color w:val="111827"/>
                <w:sz w:val="16"/>
              </w:rPr>
              <w:t>ForecastRun</w:t>
            </w:r>
          </w:p>
        </w:tc>
        <w:tc>
          <w:tcPr>
            <w:tcW w:type="dxa" w:w="3384"/>
          </w:tcPr>
          <w:p>
            <w:pPr>
              <w:spacing w:after="0"/>
              <w:jc w:val="left"/>
            </w:pPr>
            <w:r>
              <w:rPr>
                <w:rFonts w:ascii="Calibri" w:hAnsi="Calibri"/>
                <w:b w:val="0"/>
                <w:i w:val="0"/>
                <w:color w:val="111827"/>
                <w:sz w:val="16"/>
              </w:rPr>
              <w:t>Horizon, model, target, uncertainty; primary namespace</w:t>
            </w:r>
          </w:p>
        </w:tc>
        <w:tc>
          <w:tcPr>
            <w:tcW w:type="dxa" w:w="2448"/>
          </w:tcPr>
          <w:p>
            <w:pPr>
              <w:spacing w:after="0"/>
              <w:jc w:val="left"/>
            </w:pPr>
            <w:r>
              <w:rPr>
                <w:rFonts w:ascii="Calibri" w:hAnsi="Calibri"/>
                <w:b w:val="0"/>
                <w:i w:val="0"/>
                <w:color w:val="111827"/>
                <w:sz w:val="16"/>
              </w:rPr>
              <w:t>LSTM ve Primary TimeSeries zorunlu; comparison girdi reddedilir</w:t>
            </w:r>
          </w:p>
        </w:tc>
        <w:tc>
          <w:tcPr>
            <w:tcW w:type="dxa" w:w="1843"/>
          </w:tcPr>
          <w:p>
            <w:pPr>
              <w:spacing w:after="0"/>
              <w:jc w:val="left"/>
            </w:pPr>
            <w:r>
              <w:rPr>
                <w:rFonts w:ascii="Calibri" w:hAnsi="Calibri"/>
                <w:b w:val="0"/>
                <w:i w:val="0"/>
                <w:color w:val="111827"/>
                <w:sz w:val="16"/>
              </w:rPr>
              <w:t>Proje lifecycle</w:t>
            </w:r>
          </w:p>
        </w:tc>
      </w:tr>
      <w:tr>
        <w:tc>
          <w:tcPr>
            <w:tcW w:type="dxa" w:w="1800"/>
            <w:shd w:fill="F4F7FB"/>
          </w:tcPr>
          <w:p>
            <w:pPr>
              <w:spacing w:after="0"/>
              <w:jc w:val="left"/>
            </w:pPr>
            <w:r>
              <w:rPr>
                <w:rFonts w:ascii="Calibri" w:hAnsi="Calibri"/>
                <w:b/>
                <w:i w:val="0"/>
                <w:color w:val="111827"/>
                <w:sz w:val="16"/>
              </w:rPr>
              <w:t>ComparisonRun</w:t>
            </w:r>
          </w:p>
        </w:tc>
        <w:tc>
          <w:tcPr>
            <w:tcW w:type="dxa" w:w="3384"/>
            <w:shd w:fill="F4F7FB"/>
          </w:tcPr>
          <w:p>
            <w:pPr>
              <w:spacing w:after="0"/>
              <w:jc w:val="left"/>
            </w:pPr>
            <w:r>
              <w:rPr>
                <w:rFonts w:ascii="Calibri" w:hAnsi="Calibri"/>
                <w:b w:val="0"/>
                <w:i w:val="0"/>
                <w:color w:val="111827"/>
                <w:sz w:val="16"/>
              </w:rPr>
              <w:t>GHSL/GISD30 kıyas metrikleri; ayrı namespace</w:t>
            </w:r>
          </w:p>
        </w:tc>
        <w:tc>
          <w:tcPr>
            <w:tcW w:type="dxa" w:w="2448"/>
            <w:shd w:fill="F4F7FB"/>
          </w:tcPr>
          <w:p>
            <w:pPr>
              <w:spacing w:after="0"/>
              <w:jc w:val="left"/>
            </w:pPr>
            <w:r>
              <w:rPr>
                <w:rFonts w:ascii="Calibri" w:hAnsi="Calibri"/>
                <w:b w:val="0"/>
                <w:i w:val="0"/>
                <w:color w:val="111827"/>
                <w:sz w:val="16"/>
              </w:rPr>
              <w:t>Primary TimeSeries/ForecastRun ile FK veya concatenate yok</w:t>
            </w:r>
          </w:p>
        </w:tc>
        <w:tc>
          <w:tcPr>
            <w:tcW w:type="dxa" w:w="1843"/>
            <w:shd w:fill="F4F7FB"/>
          </w:tcPr>
          <w:p>
            <w:pPr>
              <w:spacing w:after="0"/>
              <w:jc w:val="left"/>
            </w:pPr>
            <w:r>
              <w:rPr>
                <w:rFonts w:ascii="Calibri" w:hAnsi="Calibri"/>
                <w:b w:val="0"/>
                <w:i w:val="0"/>
                <w:color w:val="111827"/>
                <w:sz w:val="16"/>
              </w:rPr>
              <w:t>Kaynak lisansı + proje lifecycle</w:t>
            </w:r>
          </w:p>
        </w:tc>
      </w:tr>
      <w:tr>
        <w:tc>
          <w:tcPr>
            <w:tcW w:type="dxa" w:w="1800"/>
          </w:tcPr>
          <w:p>
            <w:pPr>
              <w:spacing w:after="0"/>
              <w:jc w:val="left"/>
            </w:pPr>
            <w:r>
              <w:rPr>
                <w:rFonts w:ascii="Calibri" w:hAnsi="Calibri"/>
                <w:b/>
                <w:i w:val="0"/>
                <w:color w:val="111827"/>
                <w:sz w:val="16"/>
              </w:rPr>
              <w:t>Artifact</w:t>
            </w:r>
          </w:p>
        </w:tc>
        <w:tc>
          <w:tcPr>
            <w:tcW w:type="dxa" w:w="3384"/>
          </w:tcPr>
          <w:p>
            <w:pPr>
              <w:spacing w:after="0"/>
              <w:jc w:val="left"/>
            </w:pPr>
            <w:r>
              <w:rPr>
                <w:rFonts w:ascii="Calibri" w:hAnsi="Calibri"/>
                <w:b w:val="0"/>
                <w:i w:val="0"/>
                <w:color w:val="111827"/>
                <w:sz w:val="16"/>
              </w:rPr>
              <w:t>URI, kind, SHA-256, media type, size</w:t>
            </w:r>
          </w:p>
        </w:tc>
        <w:tc>
          <w:tcPr>
            <w:tcW w:type="dxa" w:w="2448"/>
          </w:tcPr>
          <w:p>
            <w:pPr>
              <w:spacing w:after="0"/>
              <w:jc w:val="left"/>
            </w:pPr>
            <w:r>
              <w:rPr>
                <w:rFonts w:ascii="Calibri" w:hAnsi="Calibri"/>
                <w:b w:val="0"/>
                <w:i w:val="0"/>
                <w:color w:val="111827"/>
                <w:sz w:val="16"/>
              </w:rPr>
              <w:t>Checksum ve producer job; object immutable</w:t>
            </w:r>
          </w:p>
        </w:tc>
        <w:tc>
          <w:tcPr>
            <w:tcW w:type="dxa" w:w="1843"/>
          </w:tcPr>
          <w:p>
            <w:pPr>
              <w:spacing w:after="0"/>
              <w:jc w:val="left"/>
            </w:pPr>
            <w:r>
              <w:rPr>
                <w:rFonts w:ascii="Calibri" w:hAnsi="Calibri"/>
                <w:b w:val="0"/>
                <w:i w:val="0"/>
                <w:color w:val="111827"/>
                <w:sz w:val="16"/>
              </w:rPr>
              <w:t>Lifecycle tiering + güvenli silme</w:t>
            </w:r>
          </w:p>
        </w:tc>
      </w:tr>
      <w:tr>
        <w:tc>
          <w:tcPr>
            <w:tcW w:type="dxa" w:w="1800"/>
            <w:shd w:fill="F4F7FB"/>
          </w:tcPr>
          <w:p>
            <w:pPr>
              <w:spacing w:after="0"/>
              <w:jc w:val="left"/>
            </w:pPr>
            <w:r>
              <w:rPr>
                <w:rFonts w:ascii="Calibri" w:hAnsi="Calibri"/>
                <w:b/>
                <w:i w:val="0"/>
                <w:color w:val="111827"/>
                <w:sz w:val="16"/>
              </w:rPr>
              <w:t>AuditEvent</w:t>
            </w:r>
          </w:p>
        </w:tc>
        <w:tc>
          <w:tcPr>
            <w:tcW w:type="dxa" w:w="3384"/>
            <w:shd w:fill="F4F7FB"/>
          </w:tcPr>
          <w:p>
            <w:pPr>
              <w:spacing w:after="0"/>
              <w:jc w:val="left"/>
            </w:pPr>
            <w:r>
              <w:rPr>
                <w:rFonts w:ascii="Calibri" w:hAnsi="Calibri"/>
                <w:b w:val="0"/>
                <w:i w:val="0"/>
                <w:color w:val="111827"/>
                <w:sz w:val="16"/>
              </w:rPr>
              <w:t>Service/job id, action, resource, outcome, timestamp</w:t>
            </w:r>
          </w:p>
        </w:tc>
        <w:tc>
          <w:tcPr>
            <w:tcW w:type="dxa" w:w="2448"/>
            <w:shd w:fill="F4F7FB"/>
          </w:tcPr>
          <w:p>
            <w:pPr>
              <w:spacing w:after="0"/>
              <w:jc w:val="left"/>
            </w:pPr>
            <w:r>
              <w:rPr>
                <w:rFonts w:ascii="Calibri" w:hAnsi="Calibri"/>
                <w:b w:val="0"/>
                <w:i w:val="0"/>
                <w:color w:val="111827"/>
                <w:sz w:val="16"/>
              </w:rPr>
              <w:t>Append-only; subject, IP ve hassas payload yok</w:t>
            </w:r>
          </w:p>
        </w:tc>
        <w:tc>
          <w:tcPr>
            <w:tcW w:type="dxa" w:w="1843"/>
            <w:shd w:fill="F4F7FB"/>
          </w:tcPr>
          <w:p>
            <w:pPr>
              <w:spacing w:after="0"/>
              <w:jc w:val="left"/>
            </w:pPr>
            <w:r>
              <w:rPr>
                <w:rFonts w:ascii="Calibri" w:hAnsi="Calibri"/>
                <w:b w:val="0"/>
                <w:i w:val="0"/>
                <w:color w:val="111827"/>
                <w:sz w:val="16"/>
              </w:rPr>
              <w:t>Kurum/ders politikası; kişisel kayıt yok</w:t>
            </w:r>
          </w:p>
        </w:tc>
      </w:tr>
    </w:tbl>
    <w:p>
      <w:pPr>
        <w:spacing w:after="20"/>
      </w:pPr>
    </w:p>
    <w:p>
      <w:pPr>
        <w:pStyle w:val="Heading3"/>
        <w:keepNext/>
      </w:pPr>
      <w:r>
        <w:t>3.4.2 Transactions, consistency and provenance</w:t>
      </w:r>
    </w:p>
    <w:p>
      <w:pPr>
        <w:widowControl/>
        <w:jc w:val="both"/>
      </w:pPr>
      <w:r>
        <w:rPr>
          <w:rFonts w:ascii="Calibri" w:hAnsi="Calibri"/>
          <w:b w:val="0"/>
          <w:i w:val="0"/>
          <w:color w:val="111827"/>
          <w:sz w:val="20"/>
        </w:rPr>
        <w:t>Kullanıcıya görünen proje/job durumu güçlü tutarlıdır; state geçişi ve yeni artifact metadata kaydı aynı DB transactionında tamamlanır. Object storage yazımı dağıtık transactiona alınmaz. Worker önce geçici anahtara nesne yazar, checksum ve boyutu doğrular, sonra kalıcı anahtara atomik publish/copy yapar ve DB kaydını commit eder. DB commit başarısızsa geçici nesne orphan-cleaner tarafından yaş eşiğine göre temizlenir. DB kaydı var fakat nesne erişilemiyorsa integrity monitor artifacti CORRUPT işaretler ve sonuç yayınını engeller.</w:t>
      </w:r>
    </w:p>
    <w:p>
      <w:pPr>
        <w:widowControl/>
        <w:jc w:val="both"/>
      </w:pPr>
      <w:r>
        <w:rPr>
          <w:rFonts w:ascii="Calibri" w:hAnsi="Calibri"/>
          <w:b w:val="0"/>
          <w:i w:val="0"/>
          <w:color w:val="111827"/>
          <w:sz w:val="20"/>
        </w:rPr>
        <w:t>Her türetilmiş artifact bir provenance zinciri taşır: kaynak scene/manifest kimlikleri, AOI sürümü, preprocessing pipeline sürümü, model sürümü, config hash, container image digest, başlama/bitiş zamanı ve üreten job. Model registry 'candidate', 'validated', 'production' ve 'retired' durumlarını kullanır. Production'a geçiş yalnız NFR-01 metrik raporu, test split kimliği ve insan onayı ile mümkündür. Aynı model artifactinin içerik değiştirerek yeniden yüklenmesine izin verilmez; yeni içerik yeni ModelVersion'dır.</w:t>
      </w:r>
    </w:p>
    <w:p>
      <w:pPr>
        <w:pStyle w:val="Heading3"/>
        <w:keepNext/>
      </w:pPr>
      <w:r>
        <w:t>3.4.3 Backup, restore and retention</w:t>
      </w:r>
    </w:p>
    <w:tbl>
      <w:tblPr>
        <w:tblStyle w:val="TableGrid"/>
        <w:jc w:val="left"/>
        <w:tblLook w:firstColumn="1" w:firstRow="1" w:lastColumn="0" w:lastRow="0" w:noHBand="0" w:noVBand="1" w:val="04A0"/>
        <w:tblW w:w="9475" w:type="dxa"/>
        <w:tblInd w:w="120" w:type="dxa"/>
        <w:tblLayout w:type="fixed"/>
      </w:tblPr>
      <w:tblGrid>
        <w:gridCol w:w="1728"/>
        <w:gridCol w:w="4392"/>
        <w:gridCol w:w="1728"/>
        <w:gridCol w:w="1627"/>
      </w:tblGrid>
      <w:tr>
        <w:trPr>
          <w:tblHeader w:val="true"/>
        </w:trPr>
        <w:tc>
          <w:tcPr>
            <w:tcW w:type="dxa" w:w="1728"/>
            <w:tcMar>
              <w:top w:w="72" w:type="dxa"/>
              <w:start w:w="110" w:type="dxa"/>
              <w:bottom w:w="72" w:type="dxa"/>
              <w:end w:w="110" w:type="dxa"/>
            </w:tcMar>
            <w:vAlign w:val="center"/>
            <w:shd w:fill="0C2854"/>
          </w:tcPr>
          <w:p>
            <w:pPr>
              <w:spacing w:after="0"/>
              <w:jc w:val="center"/>
            </w:pPr>
            <w:r>
              <w:rPr>
                <w:rFonts w:ascii="Calibri" w:hAnsi="Calibri"/>
                <w:b/>
                <w:i w:val="0"/>
                <w:color w:val="FFFFFF"/>
                <w:sz w:val="17"/>
              </w:rPr>
              <w:t>Katman</w:t>
            </w:r>
          </w:p>
        </w:tc>
        <w:tc>
          <w:tcPr>
            <w:tcW w:type="dxa" w:w="4392"/>
            <w:tcMar>
              <w:top w:w="72" w:type="dxa"/>
              <w:start w:w="110" w:type="dxa"/>
              <w:bottom w:w="72" w:type="dxa"/>
              <w:end w:w="110" w:type="dxa"/>
            </w:tcMar>
            <w:vAlign w:val="center"/>
            <w:shd w:fill="0C2854"/>
          </w:tcPr>
          <w:p>
            <w:pPr>
              <w:spacing w:after="0"/>
              <w:jc w:val="center"/>
            </w:pPr>
            <w:r>
              <w:rPr>
                <w:rFonts w:ascii="Calibri" w:hAnsi="Calibri"/>
                <w:b/>
                <w:i w:val="0"/>
                <w:color w:val="FFFFFF"/>
                <w:sz w:val="17"/>
              </w:rPr>
              <w:t>Yedek stratejisi</w:t>
            </w:r>
          </w:p>
        </w:tc>
        <w:tc>
          <w:tcPr>
            <w:tcW w:type="dxa" w:w="1728"/>
            <w:tcMar>
              <w:top w:w="72" w:type="dxa"/>
              <w:start w:w="110" w:type="dxa"/>
              <w:bottom w:w="72" w:type="dxa"/>
              <w:end w:w="110" w:type="dxa"/>
            </w:tcMar>
            <w:vAlign w:val="center"/>
            <w:shd w:fill="0C2854"/>
          </w:tcPr>
          <w:p>
            <w:pPr>
              <w:spacing w:after="0"/>
              <w:jc w:val="center"/>
            </w:pPr>
            <w:r>
              <w:rPr>
                <w:rFonts w:ascii="Calibri" w:hAnsi="Calibri"/>
                <w:b/>
                <w:i w:val="0"/>
                <w:color w:val="FFFFFF"/>
                <w:sz w:val="17"/>
              </w:rPr>
              <w:t>Hedef</w:t>
            </w:r>
          </w:p>
        </w:tc>
        <w:tc>
          <w:tcPr>
            <w:tcW w:type="dxa" w:w="1627"/>
            <w:tcMar>
              <w:top w:w="72" w:type="dxa"/>
              <w:start w:w="110" w:type="dxa"/>
              <w:bottom w:w="72" w:type="dxa"/>
              <w:end w:w="110" w:type="dxa"/>
            </w:tcMar>
            <w:vAlign w:val="center"/>
            <w:shd w:fill="0C2854"/>
          </w:tcPr>
          <w:p>
            <w:pPr>
              <w:spacing w:after="0"/>
              <w:jc w:val="center"/>
            </w:pPr>
            <w:r>
              <w:rPr>
                <w:rFonts w:ascii="Calibri" w:hAnsi="Calibri"/>
                <w:b/>
                <w:i w:val="0"/>
                <w:color w:val="FFFFFF"/>
                <w:sz w:val="17"/>
              </w:rPr>
              <w:t>Doğrulama</w:t>
            </w:r>
          </w:p>
        </w:tc>
      </w:tr>
      <w:tr>
        <w:tc>
          <w:tcPr>
            <w:tcW w:type="dxa" w:w="1728"/>
          </w:tcPr>
          <w:p>
            <w:pPr>
              <w:spacing w:after="0"/>
              <w:jc w:val="left"/>
            </w:pPr>
            <w:r>
              <w:rPr>
                <w:rFonts w:ascii="Calibri" w:hAnsi="Calibri"/>
                <w:b/>
                <w:i w:val="0"/>
                <w:color w:val="111827"/>
                <w:sz w:val="17"/>
              </w:rPr>
              <w:t>PostgreSQL</w:t>
            </w:r>
          </w:p>
        </w:tc>
        <w:tc>
          <w:tcPr>
            <w:tcW w:type="dxa" w:w="4392"/>
          </w:tcPr>
          <w:p>
            <w:pPr>
              <w:spacing w:after="0"/>
              <w:jc w:val="left"/>
            </w:pPr>
            <w:r>
              <w:rPr>
                <w:rFonts w:ascii="Calibri" w:hAnsi="Calibri"/>
                <w:b w:val="0"/>
                <w:i w:val="0"/>
                <w:color w:val="111827"/>
                <w:sz w:val="17"/>
              </w:rPr>
              <w:t>Günlük base backup + WAL arşivi; şifreli ayrı failure-domain kopyası</w:t>
            </w:r>
          </w:p>
        </w:tc>
        <w:tc>
          <w:tcPr>
            <w:tcW w:type="dxa" w:w="1728"/>
          </w:tcPr>
          <w:p>
            <w:pPr>
              <w:spacing w:after="0"/>
              <w:jc w:val="left"/>
            </w:pPr>
            <w:r>
              <w:rPr>
                <w:rFonts w:ascii="Calibri" w:hAnsi="Calibri"/>
                <w:b w:val="0"/>
                <w:i w:val="0"/>
                <w:color w:val="111827"/>
                <w:sz w:val="17"/>
              </w:rPr>
              <w:t>RPO/RTO kurumca belirlenecek tasarım varsayımı</w:t>
            </w:r>
          </w:p>
        </w:tc>
        <w:tc>
          <w:tcPr>
            <w:tcW w:type="dxa" w:w="1627"/>
          </w:tcPr>
          <w:p>
            <w:pPr>
              <w:spacing w:after="0"/>
              <w:jc w:val="left"/>
            </w:pPr>
            <w:r>
              <w:rPr>
                <w:rFonts w:ascii="Calibri" w:hAnsi="Calibri"/>
                <w:b w:val="0"/>
                <w:i w:val="0"/>
                <w:color w:val="111827"/>
                <w:sz w:val="17"/>
              </w:rPr>
              <w:t>Takvim kurumca onaylanır; temiz ortam restore testi</w:t>
            </w:r>
          </w:p>
        </w:tc>
      </w:tr>
      <w:tr>
        <w:tc>
          <w:tcPr>
            <w:tcW w:type="dxa" w:w="1728"/>
            <w:shd w:fill="F4F7FB"/>
          </w:tcPr>
          <w:p>
            <w:pPr>
              <w:spacing w:after="0"/>
              <w:jc w:val="left"/>
            </w:pPr>
            <w:r>
              <w:rPr>
                <w:rFonts w:ascii="Calibri" w:hAnsi="Calibri"/>
                <w:b/>
                <w:i w:val="0"/>
                <w:color w:val="111827"/>
                <w:sz w:val="17"/>
              </w:rPr>
              <w:t>Object storage</w:t>
            </w:r>
          </w:p>
        </w:tc>
        <w:tc>
          <w:tcPr>
            <w:tcW w:type="dxa" w:w="4392"/>
            <w:shd w:fill="F4F7FB"/>
          </w:tcPr>
          <w:p>
            <w:pPr>
              <w:spacing w:after="0"/>
              <w:jc w:val="left"/>
            </w:pPr>
            <w:r>
              <w:rPr>
                <w:rFonts w:ascii="Calibri" w:hAnsi="Calibri"/>
                <w:b w:val="0"/>
                <w:i w:val="0"/>
                <w:color w:val="111827"/>
                <w:sz w:val="17"/>
              </w:rPr>
              <w:t>Versioning; artımlı snapshot; farklı failure-domain kopyası</w:t>
            </w:r>
          </w:p>
        </w:tc>
        <w:tc>
          <w:tcPr>
            <w:tcW w:type="dxa" w:w="1728"/>
            <w:shd w:fill="F4F7FB"/>
          </w:tcPr>
          <w:p>
            <w:pPr>
              <w:spacing w:after="0"/>
              <w:jc w:val="left"/>
            </w:pPr>
            <w:r>
              <w:rPr>
                <w:rFonts w:ascii="Calibri" w:hAnsi="Calibri"/>
                <w:b w:val="0"/>
                <w:i w:val="0"/>
                <w:color w:val="111827"/>
                <w:sz w:val="17"/>
              </w:rPr>
              <w:t>RPO/RTO kurumca belirlenecek tasarım varsayımı</w:t>
            </w:r>
          </w:p>
        </w:tc>
        <w:tc>
          <w:tcPr>
            <w:tcW w:type="dxa" w:w="1627"/>
            <w:shd w:fill="F4F7FB"/>
          </w:tcPr>
          <w:p>
            <w:pPr>
              <w:spacing w:after="0"/>
              <w:jc w:val="left"/>
            </w:pPr>
            <w:r>
              <w:rPr>
                <w:rFonts w:ascii="Calibri" w:hAnsi="Calibri"/>
                <w:b w:val="0"/>
                <w:i w:val="0"/>
                <w:color w:val="111827"/>
                <w:sz w:val="17"/>
              </w:rPr>
              <w:t>Checksum örneklemesi ve seçili proje restore testi</w:t>
            </w:r>
          </w:p>
        </w:tc>
      </w:tr>
      <w:tr>
        <w:tc>
          <w:tcPr>
            <w:tcW w:type="dxa" w:w="1728"/>
          </w:tcPr>
          <w:p>
            <w:pPr>
              <w:spacing w:after="0"/>
              <w:jc w:val="left"/>
            </w:pPr>
            <w:r>
              <w:rPr>
                <w:rFonts w:ascii="Calibri" w:hAnsi="Calibri"/>
                <w:b/>
                <w:i w:val="0"/>
                <w:color w:val="111827"/>
                <w:sz w:val="17"/>
              </w:rPr>
              <w:t>Redis</w:t>
            </w:r>
          </w:p>
        </w:tc>
        <w:tc>
          <w:tcPr>
            <w:tcW w:type="dxa" w:w="4392"/>
          </w:tcPr>
          <w:p>
            <w:pPr>
              <w:spacing w:after="0"/>
              <w:jc w:val="left"/>
            </w:pPr>
            <w:r>
              <w:rPr>
                <w:rFonts w:ascii="Calibri" w:hAnsi="Calibri"/>
                <w:b w:val="0"/>
                <w:i w:val="0"/>
                <w:color w:val="111827"/>
                <w:sz w:val="17"/>
              </w:rPr>
              <w:t>Kuyruk/cache yeniden kurulabilir; opsiyonel AOF</w:t>
            </w:r>
          </w:p>
        </w:tc>
        <w:tc>
          <w:tcPr>
            <w:tcW w:type="dxa" w:w="1728"/>
          </w:tcPr>
          <w:p>
            <w:pPr>
              <w:spacing w:after="0"/>
              <w:jc w:val="left"/>
            </w:pPr>
            <w:r>
              <w:rPr>
                <w:rFonts w:ascii="Calibri" w:hAnsi="Calibri"/>
                <w:b w:val="0"/>
                <w:i w:val="0"/>
                <w:color w:val="111827"/>
                <w:sz w:val="17"/>
              </w:rPr>
              <w:t>RPO hedefi yok</w:t>
            </w:r>
          </w:p>
        </w:tc>
        <w:tc>
          <w:tcPr>
            <w:tcW w:type="dxa" w:w="1627"/>
          </w:tcPr>
          <w:p>
            <w:pPr>
              <w:spacing w:after="0"/>
              <w:jc w:val="left"/>
            </w:pPr>
            <w:r>
              <w:rPr>
                <w:rFonts w:ascii="Calibri" w:hAnsi="Calibri"/>
                <w:b w:val="0"/>
                <w:i w:val="0"/>
                <w:color w:val="111827"/>
                <w:sz w:val="17"/>
              </w:rPr>
              <w:t>DB reconcile ile eksik queued/running işler yeniden oluşturulur</w:t>
            </w:r>
          </w:p>
        </w:tc>
      </w:tr>
      <w:tr>
        <w:tc>
          <w:tcPr>
            <w:tcW w:type="dxa" w:w="1728"/>
            <w:shd w:fill="F4F7FB"/>
          </w:tcPr>
          <w:p>
            <w:pPr>
              <w:spacing w:after="0"/>
              <w:jc w:val="left"/>
            </w:pPr>
            <w:r>
              <w:rPr>
                <w:rFonts w:ascii="Calibri" w:hAnsi="Calibri"/>
                <w:b/>
                <w:i w:val="0"/>
                <w:color w:val="111827"/>
                <w:sz w:val="17"/>
              </w:rPr>
              <w:t>Secrets/config</w:t>
            </w:r>
          </w:p>
        </w:tc>
        <w:tc>
          <w:tcPr>
            <w:tcW w:type="dxa" w:w="4392"/>
            <w:shd w:fill="F4F7FB"/>
          </w:tcPr>
          <w:p>
            <w:pPr>
              <w:spacing w:after="0"/>
              <w:jc w:val="left"/>
            </w:pPr>
            <w:r>
              <w:rPr>
                <w:rFonts w:ascii="Calibri" w:hAnsi="Calibri"/>
                <w:b w:val="0"/>
                <w:i w:val="0"/>
                <w:color w:val="111827"/>
                <w:sz w:val="17"/>
              </w:rPr>
              <w:t>Şifreli secrets store ve erişim kontrollü offline kurtarma paketi</w:t>
            </w:r>
          </w:p>
        </w:tc>
        <w:tc>
          <w:tcPr>
            <w:tcW w:type="dxa" w:w="1728"/>
            <w:shd w:fill="F4F7FB"/>
          </w:tcPr>
          <w:p>
            <w:pPr>
              <w:spacing w:after="0"/>
              <w:jc w:val="left"/>
            </w:pPr>
            <w:r>
              <w:rPr>
                <w:rFonts w:ascii="Calibri" w:hAnsi="Calibri"/>
                <w:b w:val="0"/>
                <w:i w:val="0"/>
                <w:color w:val="111827"/>
                <w:sz w:val="17"/>
              </w:rPr>
              <w:t>Kurumca doğrulanacak</w:t>
            </w:r>
          </w:p>
        </w:tc>
        <w:tc>
          <w:tcPr>
            <w:tcW w:type="dxa" w:w="1627"/>
            <w:shd w:fill="F4F7FB"/>
          </w:tcPr>
          <w:p>
            <w:pPr>
              <w:spacing w:after="0"/>
              <w:jc w:val="left"/>
            </w:pPr>
            <w:r>
              <w:rPr>
                <w:rFonts w:ascii="Calibri" w:hAnsi="Calibri"/>
                <w:b w:val="0"/>
                <w:i w:val="0"/>
                <w:color w:val="111827"/>
                <w:sz w:val="17"/>
              </w:rPr>
              <w:t>Kurum takviminde anahtar/secret rotation tatbikatı</w:t>
            </w:r>
          </w:p>
        </w:tc>
      </w:tr>
    </w:tbl>
    <w:p>
      <w:pPr>
        <w:spacing w:after="20"/>
      </w:pPr>
    </w:p>
    <w:p>
      <w:pPr>
        <w:widowControl/>
        <w:jc w:val="both"/>
      </w:pPr>
      <w:r>
        <w:rPr>
          <w:rFonts w:ascii="Calibri" w:hAnsi="Calibri"/>
          <w:b w:val="0"/>
          <w:i w:val="0"/>
          <w:color w:val="111827"/>
          <w:sz w:val="20"/>
        </w:rPr>
        <w:t>Yedek başarı logu tek başına yeterli değildir; geri yükleme testi olmayan yedek doğrulanmış sayılmaz. Restore prosedürü boş sunucuda veritabanı, object store manifesti ve seçili checksumların eşleşmesini kontrol eder. Ana ve yedek kopya aynı fiziksel diskte tutulmaz. PostgreSQL base backup, WAL arşivi ve PITR zinciri PostgreSQL 16 dokümantasyonuna göre uygulanır [18]. Tablodaki periyot ve RPO/RTO değerleri PKE gereksinimi değil, kurumun veri hacmi ve ders teslim politikasıyla doğrulaması gereken işletim varsayımlarıdır. Artifact lifecycle süresi kurum/ders politikasıyla tanımlanır; MVP'de kişisel veri saklama süresi bulunmaz [4].</w:t>
      </w:r>
    </w:p>
    <w:p>
      <w:pPr>
        <w:pStyle w:val="Heading2"/>
        <w:keepNext/>
      </w:pPr>
      <w:r>
        <w:t>3.5 Access control and security</w:t>
      </w:r>
    </w:p>
    <w:p>
      <w:pPr>
        <w:pStyle w:val="Heading3"/>
        <w:keepNext/>
      </w:pPr>
      <w:r>
        <w:t>3.5.1 Trust model and authentication</w:t>
      </w:r>
    </w:p>
    <w:p>
      <w:pPr>
        <w:widowControl/>
        <w:jc w:val="both"/>
      </w:pPr>
      <w:r>
        <w:rPr>
          <w:rFonts w:ascii="Calibri" w:hAnsi="Calibri"/>
          <w:b w:val="0"/>
          <w:i w:val="0"/>
          <w:color w:val="111827"/>
          <w:sz w:val="20"/>
        </w:rPr>
        <w:t>MVP internete açık bir kimlik deposu veya uygulama içi kullanıcı hesabı işletmez. Tek teknik operatör işletim sistemi hesabı, kampüs ağı/VPN'i ya da reverse proxy erişim kapısında doğrulanır. Uygulamaya kişiyi tanımlayan subject veya IP yerine kısa ömürlü, opaque ve proje/job kapsamlı capability aktarılır; capability loglanmaz ve süresi dolduğunda yenilenir. Yerel geliştirme yalnız loopback arayüzünde ve açıkça işaretlenmiş geliştirme konfigürasyonuyla çalışır [3], [4].</w:t>
      </w:r>
    </w:p>
    <w:p>
      <w:pPr>
        <w:widowControl/>
        <w:jc w:val="both"/>
      </w:pPr>
      <w:r>
        <w:rPr>
          <w:rFonts w:ascii="Calibri" w:hAnsi="Calibri"/>
          <w:b w:val="0"/>
          <w:i w:val="0"/>
          <w:color w:val="111827"/>
          <w:sz w:val="20"/>
        </w:rPr>
        <w:t>Servisler arası çağrılar kısa ömürlü teknik service identity kullanır. Worker yetkisi job ve artifact prefixiyle sınırlandırılır; API her kaynak erişiminde capability scope, resource ve operation kontrolünü tekrarlar. Erişim kapısı veya politika doğrulaması yapılamıyorsa sistem fail closed olur. Çok kullanıcılı OIDC/RBAC, kalıcı üyelik ve paylaşım MVP kapsamı dışındadır; eklenmesi PKE değişikliği, kişisel veri envanteri ve hukuki/etik onay gerektirir. OWASP ASVS 5.0'ın access control, cryptography ve security logging kontrolleri kabul listesine alınır [21].</w:t>
      </w:r>
    </w:p>
    <w:p>
      <w:pPr>
        <w:pStyle w:val="Heading3"/>
        <w:keepNext/>
      </w:pPr>
      <w:r>
        <w:t>3.5.2 Authorization model</w:t>
      </w:r>
    </w:p>
    <w:tbl>
      <w:tblPr>
        <w:tblStyle w:val="TableGrid"/>
        <w:jc w:val="left"/>
        <w:tblLook w:firstColumn="1" w:firstRow="1" w:lastColumn="0" w:lastRow="0" w:noHBand="0" w:noVBand="1" w:val="04A0"/>
        <w:tblW w:w="9475" w:type="dxa"/>
        <w:tblInd w:w="120" w:type="dxa"/>
        <w:tblLayout w:type="fixed"/>
      </w:tblPr>
      <w:tblGrid>
        <w:gridCol w:w="1655"/>
        <w:gridCol w:w="2232"/>
        <w:gridCol w:w="2232"/>
        <w:gridCol w:w="1800"/>
        <w:gridCol w:w="1555"/>
      </w:tblGrid>
      <w:tr>
        <w:trPr>
          <w:tblHeader w:val="true"/>
        </w:trPr>
        <w:tc>
          <w:tcPr>
            <w:tcW w:type="dxa" w:w="1655"/>
            <w:tcMar>
              <w:top w:w="72" w:type="dxa"/>
              <w:start w:w="110" w:type="dxa"/>
              <w:bottom w:w="72" w:type="dxa"/>
              <w:end w:w="110" w:type="dxa"/>
            </w:tcMar>
            <w:vAlign w:val="center"/>
            <w:shd w:fill="0C2854"/>
          </w:tcPr>
          <w:p>
            <w:pPr>
              <w:spacing w:after="0"/>
              <w:jc w:val="center"/>
            </w:pPr>
            <w:r>
              <w:rPr>
                <w:rFonts w:ascii="Calibri" w:hAnsi="Calibri"/>
                <w:b/>
                <w:i w:val="0"/>
                <w:color w:val="FFFFFF"/>
                <w:sz w:val="16"/>
              </w:rPr>
              <w:t>Teknik rol/capability</w:t>
            </w:r>
          </w:p>
        </w:tc>
        <w:tc>
          <w:tcPr>
            <w:tcW w:type="dxa" w:w="2232"/>
            <w:tcMar>
              <w:top w:w="72" w:type="dxa"/>
              <w:start w:w="110" w:type="dxa"/>
              <w:bottom w:w="72" w:type="dxa"/>
              <w:end w:w="110" w:type="dxa"/>
            </w:tcMar>
            <w:vAlign w:val="center"/>
            <w:shd w:fill="0C2854"/>
          </w:tcPr>
          <w:p>
            <w:pPr>
              <w:spacing w:after="0"/>
              <w:jc w:val="center"/>
            </w:pPr>
            <w:r>
              <w:rPr>
                <w:rFonts w:ascii="Calibri" w:hAnsi="Calibri"/>
                <w:b/>
                <w:i w:val="0"/>
                <w:color w:val="FFFFFF"/>
                <w:sz w:val="16"/>
              </w:rPr>
              <w:t>Okuma</w:t>
            </w:r>
          </w:p>
        </w:tc>
        <w:tc>
          <w:tcPr>
            <w:tcW w:type="dxa" w:w="2232"/>
            <w:tcMar>
              <w:top w:w="72" w:type="dxa"/>
              <w:start w:w="110" w:type="dxa"/>
              <w:bottom w:w="72" w:type="dxa"/>
              <w:end w:w="110" w:type="dxa"/>
            </w:tcMar>
            <w:vAlign w:val="center"/>
            <w:shd w:fill="0C2854"/>
          </w:tcPr>
          <w:p>
            <w:pPr>
              <w:spacing w:after="0"/>
              <w:jc w:val="center"/>
            </w:pPr>
            <w:r>
              <w:rPr>
                <w:rFonts w:ascii="Calibri" w:hAnsi="Calibri"/>
                <w:b/>
                <w:i w:val="0"/>
                <w:color w:val="FFFFFF"/>
                <w:sz w:val="16"/>
              </w:rPr>
              <w:t>İş çalıştırma</w:t>
            </w:r>
          </w:p>
        </w:tc>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6"/>
              </w:rPr>
              <w:t>Model yönetimi</w:t>
            </w:r>
          </w:p>
        </w:tc>
        <w:tc>
          <w:tcPr>
            <w:tcW w:type="dxa" w:w="1555"/>
            <w:tcMar>
              <w:top w:w="72" w:type="dxa"/>
              <w:start w:w="110" w:type="dxa"/>
              <w:bottom w:w="72" w:type="dxa"/>
              <w:end w:w="110" w:type="dxa"/>
            </w:tcMar>
            <w:vAlign w:val="center"/>
            <w:shd w:fill="0C2854"/>
          </w:tcPr>
          <w:p>
            <w:pPr>
              <w:spacing w:after="0"/>
              <w:jc w:val="center"/>
            </w:pPr>
            <w:r>
              <w:rPr>
                <w:rFonts w:ascii="Calibri" w:hAnsi="Calibri"/>
                <w:b/>
                <w:i w:val="0"/>
                <w:color w:val="FFFFFF"/>
                <w:sz w:val="16"/>
              </w:rPr>
              <w:t>Sistem yönetimi</w:t>
            </w:r>
          </w:p>
        </w:tc>
      </w:tr>
      <w:tr>
        <w:tc>
          <w:tcPr>
            <w:tcW w:type="dxa" w:w="1655"/>
          </w:tcPr>
          <w:p>
            <w:pPr>
              <w:spacing w:after="0"/>
              <w:jc w:val="left"/>
            </w:pPr>
            <w:r>
              <w:rPr>
                <w:rFonts w:ascii="Calibri" w:hAnsi="Calibri"/>
                <w:b/>
                <w:i w:val="0"/>
                <w:color w:val="111827"/>
                <w:sz w:val="16"/>
              </w:rPr>
              <w:t>read-result</w:t>
            </w:r>
          </w:p>
        </w:tc>
        <w:tc>
          <w:tcPr>
            <w:tcW w:type="dxa" w:w="2232"/>
          </w:tcPr>
          <w:p>
            <w:pPr>
              <w:spacing w:after="0"/>
              <w:jc w:val="left"/>
            </w:pPr>
            <w:r>
              <w:rPr>
                <w:rFonts w:ascii="Calibri" w:hAnsi="Calibri"/>
                <w:b w:val="0"/>
                <w:i w:val="0"/>
                <w:color w:val="111827"/>
                <w:sz w:val="16"/>
              </w:rPr>
              <w:t>Belirli proje sonuçları ve rapor</w:t>
            </w:r>
          </w:p>
        </w:tc>
        <w:tc>
          <w:tcPr>
            <w:tcW w:type="dxa" w:w="2232"/>
          </w:tcPr>
          <w:p>
            <w:pPr>
              <w:spacing w:after="0"/>
              <w:jc w:val="left"/>
            </w:pPr>
            <w:r>
              <w:rPr>
                <w:rFonts w:ascii="Calibri" w:hAnsi="Calibri"/>
                <w:b w:val="0"/>
                <w:i w:val="0"/>
                <w:color w:val="111827"/>
                <w:sz w:val="16"/>
              </w:rPr>
              <w:t>Yok</w:t>
            </w:r>
          </w:p>
        </w:tc>
        <w:tc>
          <w:tcPr>
            <w:tcW w:type="dxa" w:w="1800"/>
          </w:tcPr>
          <w:p>
            <w:pPr>
              <w:spacing w:after="0"/>
              <w:jc w:val="left"/>
            </w:pPr>
            <w:r>
              <w:rPr>
                <w:rFonts w:ascii="Calibri" w:hAnsi="Calibri"/>
                <w:b w:val="0"/>
                <w:i w:val="0"/>
                <w:color w:val="111827"/>
                <w:sz w:val="16"/>
              </w:rPr>
              <w:t>Yok</w:t>
            </w:r>
          </w:p>
        </w:tc>
        <w:tc>
          <w:tcPr>
            <w:tcW w:type="dxa" w:w="1555"/>
          </w:tcPr>
          <w:p>
            <w:pPr>
              <w:spacing w:after="0"/>
              <w:jc w:val="left"/>
            </w:pPr>
            <w:r>
              <w:rPr>
                <w:rFonts w:ascii="Calibri" w:hAnsi="Calibri"/>
                <w:b w:val="0"/>
                <w:i w:val="0"/>
                <w:color w:val="111827"/>
                <w:sz w:val="16"/>
              </w:rPr>
              <w:t>Yok</w:t>
            </w:r>
          </w:p>
        </w:tc>
      </w:tr>
      <w:tr>
        <w:tc>
          <w:tcPr>
            <w:tcW w:type="dxa" w:w="1655"/>
            <w:shd w:fill="F4F7FB"/>
          </w:tcPr>
          <w:p>
            <w:pPr>
              <w:spacing w:after="0"/>
              <w:jc w:val="left"/>
            </w:pPr>
            <w:r>
              <w:rPr>
                <w:rFonts w:ascii="Calibri" w:hAnsi="Calibri"/>
                <w:b/>
                <w:i w:val="0"/>
                <w:color w:val="111827"/>
                <w:sz w:val="16"/>
              </w:rPr>
              <w:t>run-analysis</w:t>
            </w:r>
          </w:p>
        </w:tc>
        <w:tc>
          <w:tcPr>
            <w:tcW w:type="dxa" w:w="2232"/>
            <w:shd w:fill="F4F7FB"/>
          </w:tcPr>
          <w:p>
            <w:pPr>
              <w:spacing w:after="0"/>
              <w:jc w:val="left"/>
            </w:pPr>
            <w:r>
              <w:rPr>
                <w:rFonts w:ascii="Calibri" w:hAnsi="Calibri"/>
                <w:b w:val="0"/>
                <w:i w:val="0"/>
                <w:color w:val="111827"/>
                <w:sz w:val="16"/>
              </w:rPr>
              <w:t>Belirli proje girdisi/sonucu</w:t>
            </w:r>
          </w:p>
        </w:tc>
        <w:tc>
          <w:tcPr>
            <w:tcW w:type="dxa" w:w="2232"/>
            <w:shd w:fill="F4F7FB"/>
          </w:tcPr>
          <w:p>
            <w:pPr>
              <w:spacing w:after="0"/>
              <w:jc w:val="left"/>
            </w:pPr>
            <w:r>
              <w:rPr>
                <w:rFonts w:ascii="Calibri" w:hAnsi="Calibri"/>
                <w:b w:val="0"/>
                <w:i w:val="0"/>
                <w:color w:val="111827"/>
                <w:sz w:val="16"/>
              </w:rPr>
              <w:t>Analiz, inference, forecast, export</w:t>
            </w:r>
          </w:p>
        </w:tc>
        <w:tc>
          <w:tcPr>
            <w:tcW w:type="dxa" w:w="1800"/>
            <w:shd w:fill="F4F7FB"/>
          </w:tcPr>
          <w:p>
            <w:pPr>
              <w:spacing w:after="0"/>
              <w:jc w:val="left"/>
            </w:pPr>
            <w:r>
              <w:rPr>
                <w:rFonts w:ascii="Calibri" w:hAnsi="Calibri"/>
                <w:b w:val="0"/>
                <w:i w:val="0"/>
                <w:color w:val="111827"/>
                <w:sz w:val="16"/>
              </w:rPr>
              <w:t>Validated model seçer; yükseltemez</w:t>
            </w:r>
          </w:p>
        </w:tc>
        <w:tc>
          <w:tcPr>
            <w:tcW w:type="dxa" w:w="1555"/>
            <w:shd w:fill="F4F7FB"/>
          </w:tcPr>
          <w:p>
            <w:pPr>
              <w:spacing w:after="0"/>
              <w:jc w:val="left"/>
            </w:pPr>
            <w:r>
              <w:rPr>
                <w:rFonts w:ascii="Calibri" w:hAnsi="Calibri"/>
                <w:b w:val="0"/>
                <w:i w:val="0"/>
                <w:color w:val="111827"/>
                <w:sz w:val="16"/>
              </w:rPr>
              <w:t>Yok</w:t>
            </w:r>
          </w:p>
        </w:tc>
      </w:tr>
      <w:tr>
        <w:tc>
          <w:tcPr>
            <w:tcW w:type="dxa" w:w="1655"/>
          </w:tcPr>
          <w:p>
            <w:pPr>
              <w:spacing w:after="0"/>
              <w:jc w:val="left"/>
            </w:pPr>
            <w:r>
              <w:rPr>
                <w:rFonts w:ascii="Calibri" w:hAnsi="Calibri"/>
                <w:b/>
                <w:i w:val="0"/>
                <w:color w:val="111827"/>
                <w:sz w:val="16"/>
              </w:rPr>
              <w:t>manage-model</w:t>
            </w:r>
          </w:p>
        </w:tc>
        <w:tc>
          <w:tcPr>
            <w:tcW w:type="dxa" w:w="2232"/>
          </w:tcPr>
          <w:p>
            <w:pPr>
              <w:spacing w:after="0"/>
              <w:jc w:val="left"/>
            </w:pPr>
            <w:r>
              <w:rPr>
                <w:rFonts w:ascii="Calibri" w:hAnsi="Calibri"/>
                <w:b w:val="0"/>
                <w:i w:val="0"/>
                <w:color w:val="111827"/>
                <w:sz w:val="16"/>
              </w:rPr>
              <w:t>Eğitim verisi ve metrik</w:t>
            </w:r>
          </w:p>
        </w:tc>
        <w:tc>
          <w:tcPr>
            <w:tcW w:type="dxa" w:w="2232"/>
          </w:tcPr>
          <w:p>
            <w:pPr>
              <w:spacing w:after="0"/>
              <w:jc w:val="left"/>
            </w:pPr>
            <w:r>
              <w:rPr>
                <w:rFonts w:ascii="Calibri" w:hAnsi="Calibri"/>
                <w:b w:val="0"/>
                <w:i w:val="0"/>
                <w:color w:val="111827"/>
                <w:sz w:val="16"/>
              </w:rPr>
              <w:t>Eğitim/evaluation</w:t>
            </w:r>
          </w:p>
        </w:tc>
        <w:tc>
          <w:tcPr>
            <w:tcW w:type="dxa" w:w="1800"/>
          </w:tcPr>
          <w:p>
            <w:pPr>
              <w:spacing w:after="0"/>
              <w:jc w:val="left"/>
            </w:pPr>
            <w:r>
              <w:rPr>
                <w:rFonts w:ascii="Calibri" w:hAnsi="Calibri"/>
                <w:b w:val="0"/>
                <w:i w:val="0"/>
                <w:color w:val="111827"/>
                <w:sz w:val="16"/>
              </w:rPr>
              <w:t>Candidate/validated geçişi</w:t>
            </w:r>
          </w:p>
        </w:tc>
        <w:tc>
          <w:tcPr>
            <w:tcW w:type="dxa" w:w="1555"/>
          </w:tcPr>
          <w:p>
            <w:pPr>
              <w:spacing w:after="0"/>
              <w:jc w:val="left"/>
            </w:pPr>
            <w:r>
              <w:rPr>
                <w:rFonts w:ascii="Calibri" w:hAnsi="Calibri"/>
                <w:b w:val="0"/>
                <w:i w:val="0"/>
                <w:color w:val="111827"/>
                <w:sz w:val="16"/>
              </w:rPr>
              <w:t>Yok</w:t>
            </w:r>
          </w:p>
        </w:tc>
      </w:tr>
      <w:tr>
        <w:tc>
          <w:tcPr>
            <w:tcW w:type="dxa" w:w="1655"/>
            <w:shd w:fill="F4F7FB"/>
          </w:tcPr>
          <w:p>
            <w:pPr>
              <w:spacing w:after="0"/>
              <w:jc w:val="left"/>
            </w:pPr>
            <w:r>
              <w:rPr>
                <w:rFonts w:ascii="Calibri" w:hAnsi="Calibri"/>
                <w:b/>
                <w:i w:val="0"/>
                <w:color w:val="111827"/>
                <w:sz w:val="16"/>
              </w:rPr>
              <w:t>operate-system</w:t>
            </w:r>
          </w:p>
        </w:tc>
        <w:tc>
          <w:tcPr>
            <w:tcW w:type="dxa" w:w="2232"/>
            <w:shd w:fill="F4F7FB"/>
          </w:tcPr>
          <w:p>
            <w:pPr>
              <w:spacing w:after="0"/>
              <w:jc w:val="left"/>
            </w:pPr>
            <w:r>
              <w:rPr>
                <w:rFonts w:ascii="Calibri" w:hAnsi="Calibri"/>
                <w:b w:val="0"/>
                <w:i w:val="0"/>
                <w:color w:val="111827"/>
                <w:sz w:val="16"/>
              </w:rPr>
              <w:t>Teknik durum ve provenance</w:t>
            </w:r>
          </w:p>
        </w:tc>
        <w:tc>
          <w:tcPr>
            <w:tcW w:type="dxa" w:w="2232"/>
            <w:shd w:fill="F4F7FB"/>
          </w:tcPr>
          <w:p>
            <w:pPr>
              <w:spacing w:after="0"/>
              <w:jc w:val="left"/>
            </w:pPr>
            <w:r>
              <w:rPr>
                <w:rFonts w:ascii="Calibri" w:hAnsi="Calibri"/>
                <w:b w:val="0"/>
                <w:i w:val="0"/>
                <w:color w:val="111827"/>
                <w:sz w:val="16"/>
              </w:rPr>
              <w:t>Retry/reconcile</w:t>
            </w:r>
          </w:p>
        </w:tc>
        <w:tc>
          <w:tcPr>
            <w:tcW w:type="dxa" w:w="1800"/>
            <w:shd w:fill="F4F7FB"/>
          </w:tcPr>
          <w:p>
            <w:pPr>
              <w:spacing w:after="0"/>
              <w:jc w:val="left"/>
            </w:pPr>
            <w:r>
              <w:rPr>
                <w:rFonts w:ascii="Calibri" w:hAnsi="Calibri"/>
                <w:b w:val="0"/>
                <w:i w:val="0"/>
                <w:color w:val="111827"/>
                <w:sz w:val="16"/>
              </w:rPr>
              <w:t>Promote/retire; secret göremez</w:t>
            </w:r>
          </w:p>
        </w:tc>
        <w:tc>
          <w:tcPr>
            <w:tcW w:type="dxa" w:w="1555"/>
            <w:shd w:fill="F4F7FB"/>
          </w:tcPr>
          <w:p>
            <w:pPr>
              <w:spacing w:after="0"/>
              <w:jc w:val="left"/>
            </w:pPr>
            <w:r>
              <w:rPr>
                <w:rFonts w:ascii="Calibri" w:hAnsi="Calibri"/>
                <w:b w:val="0"/>
                <w:i w:val="0"/>
                <w:color w:val="111827"/>
                <w:sz w:val="16"/>
              </w:rPr>
              <w:t>Kota, lifecycle ve servis ayarı</w:t>
            </w:r>
          </w:p>
        </w:tc>
      </w:tr>
      <w:tr>
        <w:tc>
          <w:tcPr>
            <w:tcW w:type="dxa" w:w="1655"/>
          </w:tcPr>
          <w:p>
            <w:pPr>
              <w:spacing w:after="0"/>
              <w:jc w:val="left"/>
            </w:pPr>
            <w:r>
              <w:rPr>
                <w:rFonts w:ascii="Calibri" w:hAnsi="Calibri"/>
                <w:b/>
                <w:i w:val="0"/>
                <w:color w:val="111827"/>
                <w:sz w:val="16"/>
              </w:rPr>
              <w:t>review-audit</w:t>
            </w:r>
          </w:p>
        </w:tc>
        <w:tc>
          <w:tcPr>
            <w:tcW w:type="dxa" w:w="2232"/>
          </w:tcPr>
          <w:p>
            <w:pPr>
              <w:spacing w:after="0"/>
              <w:jc w:val="left"/>
            </w:pPr>
            <w:r>
              <w:rPr>
                <w:rFonts w:ascii="Calibri" w:hAnsi="Calibri"/>
                <w:b w:val="0"/>
                <w:i w:val="0"/>
                <w:color w:val="111827"/>
                <w:sz w:val="16"/>
              </w:rPr>
              <w:t>Kimliksiz audit/provenance</w:t>
            </w:r>
          </w:p>
        </w:tc>
        <w:tc>
          <w:tcPr>
            <w:tcW w:type="dxa" w:w="2232"/>
          </w:tcPr>
          <w:p>
            <w:pPr>
              <w:spacing w:after="0"/>
              <w:jc w:val="left"/>
            </w:pPr>
            <w:r>
              <w:rPr>
                <w:rFonts w:ascii="Calibri" w:hAnsi="Calibri"/>
                <w:b w:val="0"/>
                <w:i w:val="0"/>
                <w:color w:val="111827"/>
                <w:sz w:val="16"/>
              </w:rPr>
              <w:t>Yok</w:t>
            </w:r>
          </w:p>
        </w:tc>
        <w:tc>
          <w:tcPr>
            <w:tcW w:type="dxa" w:w="1800"/>
          </w:tcPr>
          <w:p>
            <w:pPr>
              <w:spacing w:after="0"/>
              <w:jc w:val="left"/>
            </w:pPr>
            <w:r>
              <w:rPr>
                <w:rFonts w:ascii="Calibri" w:hAnsi="Calibri"/>
                <w:b w:val="0"/>
                <w:i w:val="0"/>
                <w:color w:val="111827"/>
                <w:sz w:val="16"/>
              </w:rPr>
              <w:t>Değişiklik yapamaz</w:t>
            </w:r>
          </w:p>
        </w:tc>
        <w:tc>
          <w:tcPr>
            <w:tcW w:type="dxa" w:w="1555"/>
          </w:tcPr>
          <w:p>
            <w:pPr>
              <w:spacing w:after="0"/>
              <w:jc w:val="left"/>
            </w:pPr>
            <w:r>
              <w:rPr>
                <w:rFonts w:ascii="Calibri" w:hAnsi="Calibri"/>
                <w:b w:val="0"/>
                <w:i w:val="0"/>
                <w:color w:val="111827"/>
                <w:sz w:val="16"/>
              </w:rPr>
              <w:t>Salt okunur uyum incelemesi</w:t>
            </w:r>
          </w:p>
        </w:tc>
      </w:tr>
    </w:tbl>
    <w:p>
      <w:pPr>
        <w:spacing w:after="20"/>
      </w:pPr>
    </w:p>
    <w:p>
      <w:pPr>
        <w:widowControl/>
        <w:jc w:val="both"/>
      </w:pPr>
      <w:r>
        <w:rPr>
          <w:rFonts w:ascii="Calibri" w:hAnsi="Calibri"/>
          <w:b w:val="0"/>
          <w:i w:val="0"/>
          <w:color w:val="111827"/>
          <w:sz w:val="20"/>
        </w:rPr>
        <w:t>Capability'ler kişi veya kalıcı üyelik değildir; ilgili proje/job ve işlem kümesiyle sınırlı, kısa ömürlü teknik yetkilerdir. MVP'de proje paylaşımı veya kullanıcı yönetimi yoktur. Model promotion/retirement, artifact silme, export ve başarısız yetki denemeleri append-only audit event üretir. Audit kaydında service/job kimliği ve sonuç bulunur; subject, IP, token, cookie, hassas dosya içeriği veya tam geometry payloadı tutulmaz.</w:t>
      </w:r>
    </w:p>
    <w:p>
      <w:pPr>
        <w:pStyle w:val="Heading3"/>
        <w:keepNext/>
      </w:pPr>
      <w:r>
        <w:t>3.5.3 Data protection, encryption and secrets</w:t>
      </w:r>
    </w:p>
    <w:p>
      <w:pPr>
        <w:pStyle w:val="ListBullet"/>
        <w:widowControl/>
        <w:spacing w:after="60"/>
      </w:pPr>
      <w:r>
        <w:rPr>
          <w:rFonts w:ascii="Calibri" w:hAnsi="Calibri"/>
          <w:b w:val="0"/>
          <w:i w:val="0"/>
          <w:color w:val="111827"/>
          <w:sz w:val="20"/>
        </w:rPr>
        <w:t>Aktarımda TLS 1.2+; iç ağda DB/Redis/object store bağlantıları için de TLS veya güvenli özel ağ. HSTS ve güvenli cookie bayrakları reverse proxyde zorunludur.</w:t>
      </w:r>
    </w:p>
    <w:p>
      <w:pPr>
        <w:pStyle w:val="ListBullet"/>
        <w:widowControl/>
        <w:spacing w:after="60"/>
      </w:pPr>
      <w:r>
        <w:rPr>
          <w:rFonts w:ascii="Calibri" w:hAnsi="Calibri"/>
          <w:b w:val="0"/>
          <w:i w:val="0"/>
          <w:color w:val="111827"/>
          <w:sz w:val="20"/>
        </w:rPr>
        <w:t>Diskte veritabanı volume, object storage ve yedekler AES-256 sınıfı platform şifrelemesiyle korunur. Anahtarlar kaynak kodda veya container image içinde tutulmaz; ayrı secret store/OS credential vault kullanılır.</w:t>
      </w:r>
    </w:p>
    <w:p>
      <w:pPr>
        <w:pStyle w:val="ListBullet"/>
        <w:widowControl/>
        <w:spacing w:after="60"/>
      </w:pPr>
      <w:r>
        <w:rPr>
          <w:rFonts w:ascii="Calibri" w:hAnsi="Calibri"/>
          <w:b w:val="0"/>
          <w:i w:val="0"/>
          <w:color w:val="111827"/>
          <w:sz w:val="20"/>
        </w:rPr>
        <w:t>GEE, Hugging Face ve object storage kimlikleri en az kapsamlı servis hesaplarıdır. Secret loglanmaz, hata mesajına eklenmez ve periyodik/olay sonrası döndürülür.</w:t>
      </w:r>
    </w:p>
    <w:p>
      <w:pPr>
        <w:pStyle w:val="ListBullet"/>
        <w:widowControl/>
        <w:spacing w:after="60"/>
      </w:pPr>
      <w:r>
        <w:rPr>
          <w:rFonts w:ascii="Calibri" w:hAnsi="Calibri"/>
          <w:b w:val="0"/>
          <w:i w:val="0"/>
          <w:color w:val="111827"/>
          <w:sz w:val="20"/>
        </w:rPr>
        <w:t>Yüklenen AOI ve rasterler boyut, medya türü, magic bytes, sıkıştırma oranı, CRS, piksel boyutu ve sınır kutusu açısından doğrulanır. ZIP path traversal, decompression bomb, SSRF ve kullanıcı kontrollü path birleştirme engellenir.</w:t>
      </w:r>
    </w:p>
    <w:p>
      <w:pPr>
        <w:pStyle w:val="ListBullet"/>
        <w:widowControl/>
        <w:spacing w:after="60"/>
      </w:pPr>
      <w:r>
        <w:rPr>
          <w:rFonts w:ascii="Calibri" w:hAnsi="Calibri"/>
          <w:b w:val="0"/>
          <w:i w:val="0"/>
          <w:color w:val="111827"/>
          <w:sz w:val="20"/>
        </w:rPr>
        <w:t>Signed artifact URL kısa ömürlü ve tek resource kapsamlıdır. Public bucket kullanılmaz; export linki tahmin edilemez ID taşısa bile authorization kontrolü olmadan üretilmez.</w:t>
      </w:r>
    </w:p>
    <w:p>
      <w:pPr>
        <w:pStyle w:val="ListBullet"/>
        <w:widowControl/>
        <w:spacing w:after="60"/>
      </w:pPr>
      <w:r>
        <w:rPr>
          <w:rFonts w:ascii="Calibri" w:hAnsi="Calibri"/>
          <w:b w:val="0"/>
          <w:i w:val="0"/>
          <w:color w:val="111827"/>
          <w:sz w:val="20"/>
        </w:rPr>
        <w:t>Bağımlılık ve container imajları sürüm/digest ile sabitlenir; CI'da vulnerability ve license taraması yapılır. Kritik açıkta imaj promotion durdurulur.</w:t>
      </w:r>
    </w:p>
    <w:p>
      <w:pPr>
        <w:pStyle w:val="Heading3"/>
        <w:keepNext/>
      </w:pPr>
      <w:r>
        <w:t>3.5.4 KVKK/GDPR and ethical controls</w:t>
      </w:r>
    </w:p>
    <w:p>
      <w:pPr>
        <w:widowControl/>
        <w:jc w:val="both"/>
      </w:pPr>
      <w:r>
        <w:rPr>
          <w:rFonts w:ascii="Calibri" w:hAnsi="Calibri"/>
          <w:b w:val="0"/>
          <w:i w:val="0"/>
          <w:color w:val="111827"/>
          <w:sz w:val="20"/>
        </w:rPr>
        <w:t>Analiz PR-08 ve PKE kararı gereği varsayılan MVP kişisel veri işlemez. Uydu görüntüsü, model girdisi/çıktısı ve teknik iş kayıtları kişiyle ilişkilendirilmez; uygulama hesabı, subject ve IP kaydı tutulmaz. KVKK md. 4, 5, 12 ve 28 ile GDPR Art. 5, 25 ve 89'daki veri minimizasyonu, güvenlik ve araştırma güvenceleri bu sınırı korur [3], [4, pp. 3-4], [22], [23]. Kişisel veya belediyeye özel veri eklenmesi otomatik olarak kabul edilmez, kapsam değişikliği sayılır. Önce veri sorumlusu, amaç/hukuki dayanak, aydınlatma, saklama-silme, erişim ve olası yurt dışı aktarım değerlendirmesi tamamlanmalıdır. Kamu yararı, zarardan kaçınma, gerçekçi iddia, hata düzeltme ve doğru atıf ilkeleri ACM 1.1, 1.2, 1.6, 2.5 ile IEEE Code of Ethics madde 1, 5 ve 7 üzerinden yayın kapısına aktarılır [24], [25].</w:t>
      </w:r>
    </w:p>
    <w:p>
      <w:r>
        <w:br w:type="page"/>
      </w:r>
    </w:p>
    <w:tbl>
      <w:tblPr>
        <w:tblStyle w:val="TableGrid"/>
        <w:jc w:val="left"/>
        <w:tblLook w:firstColumn="1" w:firstRow="1" w:lastColumn="0" w:lastRow="0" w:noHBand="0" w:noVBand="1" w:val="04A0"/>
        <w:tblW w:w="9475" w:type="dxa"/>
        <w:tblInd w:w="120" w:type="dxa"/>
        <w:tblLayout w:type="fixed"/>
      </w:tblPr>
      <w:tblGrid>
        <w:gridCol w:w="1944"/>
        <w:gridCol w:w="3671"/>
        <w:gridCol w:w="3859"/>
      </w:tblGrid>
      <w:tr>
        <w:trPr>
          <w:tblHeader w:val="true"/>
        </w:trPr>
        <w:tc>
          <w:tcPr>
            <w:tcW w:type="dxa" w:w="1944"/>
            <w:tcMar>
              <w:top w:w="72" w:type="dxa"/>
              <w:start w:w="110" w:type="dxa"/>
              <w:bottom w:w="72" w:type="dxa"/>
              <w:end w:w="110" w:type="dxa"/>
            </w:tcMar>
            <w:vAlign w:val="center"/>
            <w:shd w:fill="0C2854"/>
          </w:tcPr>
          <w:p>
            <w:pPr>
              <w:spacing w:after="0"/>
              <w:jc w:val="center"/>
            </w:pPr>
            <w:r>
              <w:rPr>
                <w:rFonts w:ascii="Calibri" w:hAnsi="Calibri"/>
                <w:b/>
                <w:i w:val="0"/>
                <w:color w:val="FFFFFF"/>
                <w:sz w:val="16"/>
              </w:rPr>
              <w:t>Kontrol</w:t>
            </w:r>
          </w:p>
        </w:tc>
        <w:tc>
          <w:tcPr>
            <w:tcW w:type="dxa" w:w="3671"/>
            <w:tcMar>
              <w:top w:w="72" w:type="dxa"/>
              <w:start w:w="110" w:type="dxa"/>
              <w:bottom w:w="72" w:type="dxa"/>
              <w:end w:w="110" w:type="dxa"/>
            </w:tcMar>
            <w:vAlign w:val="center"/>
            <w:shd w:fill="0C2854"/>
          </w:tcPr>
          <w:p>
            <w:pPr>
              <w:spacing w:after="0"/>
              <w:jc w:val="center"/>
            </w:pPr>
            <w:r>
              <w:rPr>
                <w:rFonts w:ascii="Calibri" w:hAnsi="Calibri"/>
                <w:b/>
                <w:i w:val="0"/>
                <w:color w:val="FFFFFF"/>
                <w:sz w:val="16"/>
              </w:rPr>
              <w:t>MVP uygulaması</w:t>
            </w:r>
          </w:p>
        </w:tc>
        <w:tc>
          <w:tcPr>
            <w:tcW w:type="dxa" w:w="3859"/>
            <w:tcMar>
              <w:top w:w="72" w:type="dxa"/>
              <w:start w:w="110" w:type="dxa"/>
              <w:bottom w:w="72" w:type="dxa"/>
              <w:end w:w="110" w:type="dxa"/>
            </w:tcMar>
            <w:vAlign w:val="center"/>
            <w:shd w:fill="0C2854"/>
          </w:tcPr>
          <w:p>
            <w:pPr>
              <w:spacing w:after="0"/>
              <w:jc w:val="center"/>
            </w:pPr>
            <w:r>
              <w:rPr>
                <w:rFonts w:ascii="Calibri" w:hAnsi="Calibri"/>
                <w:b/>
                <w:i w:val="0"/>
                <w:color w:val="FFFFFF"/>
                <w:sz w:val="16"/>
              </w:rPr>
              <w:t>Kişisel/özel belediye verisi eklenirse</w:t>
            </w:r>
          </w:p>
        </w:tc>
      </w:tr>
      <w:tr>
        <w:tc>
          <w:tcPr>
            <w:tcW w:type="dxa" w:w="1944"/>
          </w:tcPr>
          <w:p>
            <w:pPr>
              <w:spacing w:after="0"/>
              <w:jc w:val="left"/>
            </w:pPr>
            <w:r>
              <w:rPr>
                <w:rFonts w:ascii="Calibri" w:hAnsi="Calibri"/>
                <w:b/>
                <w:i w:val="0"/>
                <w:color w:val="111827"/>
                <w:sz w:val="16"/>
              </w:rPr>
              <w:t>Veri minimizasyonu</w:t>
            </w:r>
          </w:p>
        </w:tc>
        <w:tc>
          <w:tcPr>
            <w:tcW w:type="dxa" w:w="3671"/>
          </w:tcPr>
          <w:p>
            <w:pPr>
              <w:spacing w:after="0"/>
              <w:jc w:val="left"/>
            </w:pPr>
            <w:r>
              <w:rPr>
                <w:rFonts w:ascii="Calibri" w:hAnsi="Calibri"/>
                <w:b w:val="0"/>
                <w:i w:val="0"/>
                <w:color w:val="111827"/>
                <w:sz w:val="16"/>
              </w:rPr>
              <w:t>Kişisel veri yok; subject/IP/profil tutulmaz</w:t>
            </w:r>
          </w:p>
        </w:tc>
        <w:tc>
          <w:tcPr>
            <w:tcW w:type="dxa" w:w="3859"/>
          </w:tcPr>
          <w:p>
            <w:pPr>
              <w:spacing w:after="0"/>
              <w:jc w:val="left"/>
            </w:pPr>
            <w:r>
              <w:rPr>
                <w:rFonts w:ascii="Calibri" w:hAnsi="Calibri"/>
                <w:b w:val="0"/>
                <w:i w:val="0"/>
                <w:color w:val="111827"/>
                <w:sz w:val="16"/>
              </w:rPr>
              <w:t>Alan bazında ihtiyaç gerekçesi; gereksiz kolon ve hassas attribute silme</w:t>
            </w:r>
          </w:p>
        </w:tc>
      </w:tr>
      <w:tr>
        <w:tc>
          <w:tcPr>
            <w:tcW w:type="dxa" w:w="1944"/>
            <w:shd w:fill="F4F7FB"/>
          </w:tcPr>
          <w:p>
            <w:pPr>
              <w:spacing w:after="0"/>
              <w:jc w:val="left"/>
            </w:pPr>
            <w:r>
              <w:rPr>
                <w:rFonts w:ascii="Calibri" w:hAnsi="Calibri"/>
                <w:b/>
                <w:i w:val="0"/>
                <w:color w:val="111827"/>
                <w:sz w:val="16"/>
              </w:rPr>
              <w:t>Amaç ve hukuki dayanak</w:t>
            </w:r>
          </w:p>
        </w:tc>
        <w:tc>
          <w:tcPr>
            <w:tcW w:type="dxa" w:w="3671"/>
            <w:shd w:fill="F4F7FB"/>
          </w:tcPr>
          <w:p>
            <w:pPr>
              <w:spacing w:after="0"/>
              <w:jc w:val="left"/>
            </w:pPr>
            <w:r>
              <w:rPr>
                <w:rFonts w:ascii="Calibri" w:hAnsi="Calibri"/>
                <w:b w:val="0"/>
                <w:i w:val="0"/>
                <w:color w:val="111827"/>
                <w:sz w:val="16"/>
              </w:rPr>
              <w:t>Araştırma/karar desteği; açık veri lisansları kayıtlı</w:t>
            </w:r>
          </w:p>
        </w:tc>
        <w:tc>
          <w:tcPr>
            <w:tcW w:type="dxa" w:w="3859"/>
            <w:shd w:fill="F4F7FB"/>
          </w:tcPr>
          <w:p>
            <w:pPr>
              <w:spacing w:after="0"/>
              <w:jc w:val="left"/>
            </w:pPr>
            <w:r>
              <w:rPr>
                <w:rFonts w:ascii="Calibri" w:hAnsi="Calibri"/>
                <w:b w:val="0"/>
                <w:i w:val="0"/>
                <w:color w:val="111827"/>
                <w:sz w:val="16"/>
              </w:rPr>
              <w:t>Yazılı amaç, hukuki işleme şartı ve aydınlatma metni</w:t>
            </w:r>
          </w:p>
        </w:tc>
      </w:tr>
      <w:tr>
        <w:tc>
          <w:tcPr>
            <w:tcW w:type="dxa" w:w="1944"/>
          </w:tcPr>
          <w:p>
            <w:pPr>
              <w:spacing w:after="0"/>
              <w:jc w:val="left"/>
            </w:pPr>
            <w:r>
              <w:rPr>
                <w:rFonts w:ascii="Calibri" w:hAnsi="Calibri"/>
                <w:b/>
                <w:i w:val="0"/>
                <w:color w:val="111827"/>
                <w:sz w:val="16"/>
              </w:rPr>
              <w:t>Erişim</w:t>
            </w:r>
          </w:p>
        </w:tc>
        <w:tc>
          <w:tcPr>
            <w:tcW w:type="dxa" w:w="3671"/>
          </w:tcPr>
          <w:p>
            <w:pPr>
              <w:spacing w:after="0"/>
              <w:jc w:val="left"/>
            </w:pPr>
            <w:r>
              <w:rPr>
                <w:rFonts w:ascii="Calibri" w:hAnsi="Calibri"/>
                <w:b w:val="0"/>
                <w:i w:val="0"/>
                <w:color w:val="111827"/>
                <w:sz w:val="16"/>
              </w:rPr>
              <w:t>Host/kampüs kapısı + kısa capability + kimliksiz audit</w:t>
            </w:r>
          </w:p>
        </w:tc>
        <w:tc>
          <w:tcPr>
            <w:tcW w:type="dxa" w:w="3859"/>
          </w:tcPr>
          <w:p>
            <w:pPr>
              <w:spacing w:after="0"/>
              <w:jc w:val="left"/>
            </w:pPr>
            <w:r>
              <w:rPr>
                <w:rFonts w:ascii="Calibri" w:hAnsi="Calibri"/>
                <w:b w:val="0"/>
                <w:i w:val="0"/>
                <w:color w:val="111827"/>
                <w:sz w:val="16"/>
              </w:rPr>
              <w:t>Daha dar attribute/row policy; veri işleyen sözleşmesi</w:t>
            </w:r>
          </w:p>
        </w:tc>
      </w:tr>
      <w:tr>
        <w:tc>
          <w:tcPr>
            <w:tcW w:type="dxa" w:w="1944"/>
            <w:shd w:fill="F4F7FB"/>
          </w:tcPr>
          <w:p>
            <w:pPr>
              <w:spacing w:after="0"/>
              <w:jc w:val="left"/>
            </w:pPr>
            <w:r>
              <w:rPr>
                <w:rFonts w:ascii="Calibri" w:hAnsi="Calibri"/>
                <w:b/>
                <w:i w:val="0"/>
                <w:color w:val="111827"/>
                <w:sz w:val="16"/>
              </w:rPr>
              <w:t>Saklama/silme</w:t>
            </w:r>
          </w:p>
        </w:tc>
        <w:tc>
          <w:tcPr>
            <w:tcW w:type="dxa" w:w="3671"/>
            <w:shd w:fill="F4F7FB"/>
          </w:tcPr>
          <w:p>
            <w:pPr>
              <w:spacing w:after="0"/>
              <w:jc w:val="left"/>
            </w:pPr>
            <w:r>
              <w:rPr>
                <w:rFonts w:ascii="Calibri" w:hAnsi="Calibri"/>
                <w:b w:val="0"/>
                <w:i w:val="0"/>
                <w:color w:val="111827"/>
                <w:sz w:val="16"/>
              </w:rPr>
              <w:t>Kurum/ders lifecycle politikası; kişisel saklama yok</w:t>
            </w:r>
          </w:p>
        </w:tc>
        <w:tc>
          <w:tcPr>
            <w:tcW w:type="dxa" w:w="3859"/>
            <w:shd w:fill="F4F7FB"/>
          </w:tcPr>
          <w:p>
            <w:pPr>
              <w:spacing w:after="0"/>
              <w:jc w:val="left"/>
            </w:pPr>
            <w:r>
              <w:rPr>
                <w:rFonts w:ascii="Calibri" w:hAnsi="Calibri"/>
                <w:b w:val="0"/>
                <w:i w:val="0"/>
                <w:color w:val="111827"/>
                <w:sz w:val="16"/>
              </w:rPr>
              <w:t>Dataset özel süre, legal hold, doğrulanmış silme/anonymization</w:t>
            </w:r>
          </w:p>
        </w:tc>
      </w:tr>
      <w:tr>
        <w:tc>
          <w:tcPr>
            <w:tcW w:type="dxa" w:w="1944"/>
          </w:tcPr>
          <w:p>
            <w:pPr>
              <w:spacing w:after="0"/>
              <w:jc w:val="left"/>
            </w:pPr>
            <w:r>
              <w:rPr>
                <w:rFonts w:ascii="Calibri" w:hAnsi="Calibri"/>
                <w:b/>
                <w:i w:val="0"/>
                <w:color w:val="111827"/>
                <w:sz w:val="16"/>
              </w:rPr>
              <w:t>Yurt dışı aktarım</w:t>
            </w:r>
          </w:p>
        </w:tc>
        <w:tc>
          <w:tcPr>
            <w:tcW w:type="dxa" w:w="3671"/>
          </w:tcPr>
          <w:p>
            <w:pPr>
              <w:spacing w:after="0"/>
              <w:jc w:val="left"/>
            </w:pPr>
            <w:r>
              <w:rPr>
                <w:rFonts w:ascii="Calibri" w:hAnsi="Calibri"/>
                <w:b w:val="0"/>
                <w:i w:val="0"/>
                <w:color w:val="111827"/>
                <w:sz w:val="16"/>
              </w:rPr>
              <w:t>Varsayılan on-prem; dış sağlayıcıya kişisel katman gönderilmez</w:t>
            </w:r>
          </w:p>
        </w:tc>
        <w:tc>
          <w:tcPr>
            <w:tcW w:type="dxa" w:w="3859"/>
          </w:tcPr>
          <w:p>
            <w:pPr>
              <w:spacing w:after="0"/>
              <w:jc w:val="left"/>
            </w:pPr>
            <w:r>
              <w:rPr>
                <w:rFonts w:ascii="Calibri" w:hAnsi="Calibri"/>
                <w:b w:val="0"/>
                <w:i w:val="0"/>
                <w:color w:val="111827"/>
                <w:sz w:val="16"/>
              </w:rPr>
              <w:t>Aktarım değerlendirmesi ve gerekli güvenceler; mümkünse yerel işleme</w:t>
            </w:r>
          </w:p>
        </w:tc>
      </w:tr>
      <w:tr>
        <w:tc>
          <w:tcPr>
            <w:tcW w:type="dxa" w:w="1944"/>
            <w:shd w:fill="F4F7FB"/>
          </w:tcPr>
          <w:p>
            <w:pPr>
              <w:spacing w:after="0"/>
              <w:jc w:val="left"/>
            </w:pPr>
            <w:r>
              <w:rPr>
                <w:rFonts w:ascii="Calibri" w:hAnsi="Calibri"/>
                <w:b/>
                <w:i w:val="0"/>
                <w:color w:val="111827"/>
                <w:sz w:val="16"/>
              </w:rPr>
              <w:t>Şeffaflık</w:t>
            </w:r>
          </w:p>
        </w:tc>
        <w:tc>
          <w:tcPr>
            <w:tcW w:type="dxa" w:w="3671"/>
            <w:shd w:fill="F4F7FB"/>
          </w:tcPr>
          <w:p>
            <w:pPr>
              <w:spacing w:after="0"/>
              <w:jc w:val="left"/>
            </w:pPr>
            <w:r>
              <w:rPr>
                <w:rFonts w:ascii="Calibri" w:hAnsi="Calibri"/>
                <w:b w:val="0"/>
                <w:i w:val="0"/>
                <w:color w:val="111827"/>
                <w:sz w:val="16"/>
              </w:rPr>
              <w:t>Kaynak, model, ufuk ve belirsizlik raporda</w:t>
            </w:r>
          </w:p>
        </w:tc>
        <w:tc>
          <w:tcPr>
            <w:tcW w:type="dxa" w:w="3859"/>
            <w:shd w:fill="F4F7FB"/>
          </w:tcPr>
          <w:p>
            <w:pPr>
              <w:spacing w:after="0"/>
              <w:jc w:val="left"/>
            </w:pPr>
            <w:r>
              <w:rPr>
                <w:rFonts w:ascii="Calibri" w:hAnsi="Calibri"/>
                <w:b w:val="0"/>
                <w:i w:val="0"/>
                <w:color w:val="111827"/>
                <w:sz w:val="16"/>
              </w:rPr>
              <w:t>İlgili kişi talepleri ve otomatik karar açıklaması süreci</w:t>
            </w:r>
          </w:p>
        </w:tc>
      </w:tr>
    </w:tbl>
    <w:p>
      <w:pPr>
        <w:spacing w:after="20"/>
      </w:pPr>
    </w:p>
    <w:tbl>
      <w:tblPr>
        <w:tblStyle w:val="TableGrid"/>
        <w:jc w:val="left"/>
        <w:tblLook w:firstColumn="1" w:firstRow="1" w:lastColumn="0" w:lastRow="0" w:noHBand="0" w:noVBand="1" w:val="04A0"/>
        <w:tblW w:w="9475" w:type="dxa"/>
        <w:tblInd w:w="120" w:type="dxa"/>
        <w:tblLayout w:type="fixed"/>
      </w:tblPr>
      <w:tblGrid>
        <w:gridCol w:w="9475"/>
      </w:tblGrid>
      <w:tr>
        <w:tc>
          <w:tcPr>
            <w:tcW w:type="dxa" w:w="9475"/>
            <w:tcMar>
              <w:top w:w="72" w:type="dxa"/>
              <w:start w:w="110" w:type="dxa"/>
              <w:bottom w:w="72" w:type="dxa"/>
              <w:end w:w="110" w:type="dxa"/>
            </w:tcMar>
            <w:vAlign w:val="center"/>
            <w:shd w:fill="F8EAEA"/>
          </w:tcPr>
          <w:p>
            <w:pPr>
              <w:spacing w:after="0"/>
            </w:pPr>
            <w:r>
              <w:rPr>
                <w:rFonts w:ascii="Calibri" w:hAnsi="Calibri"/>
                <w:b/>
                <w:i w:val="0"/>
                <w:color w:val="0C2854"/>
                <w:sz w:val="20"/>
              </w:rPr>
              <w:t xml:space="preserve">Etik yayın kapısı: </w:t>
            </w:r>
            <w:r>
              <w:rPr>
                <w:rFonts w:ascii="Calibri" w:hAnsi="Calibri"/>
                <w:b w:val="0"/>
                <w:i w:val="0"/>
                <w:color w:val="111827"/>
                <w:sz w:val="20"/>
              </w:rPr>
              <w:t>PUBLISHED için LSTM sonucu; kaynak/model/ufuk/provenance; bulut ve eksik dönem bilgisi; en az bir hata analizi, düşük performanslı sınıflar ve hata örnekleri; belirsizlik; 'resmi imar kararı değildir' uyarısı zorunludur. Paket ayrıca SSL4EO-S12 v1.1 veri seti kaydına ve CC BY 4.0 Legal Code 3(a)'ya uygun attribution/copyright/license/disclaimer/change notice [10], [26]; uygun 'Copernicus Sentinel data [Year]' veya 'Contains modified Copernicus Sentinel data [Year]' bildirimi [27] ve GEE Terms 2.1(a), 2.1(d) kapsamında akademik/non-commercial kullanım beyanı [28] taşır. Eksik içerik yayın geçişini reddeder [4, pp. 4-8].</w:t>
            </w:r>
          </w:p>
        </w:tc>
      </w:tr>
    </w:tbl>
    <w:p>
      <w:pPr>
        <w:spacing w:after="20"/>
      </w:pPr>
    </w:p>
    <w:p>
      <w:pPr>
        <w:pStyle w:val="Heading2"/>
        <w:keepNext/>
      </w:pPr>
      <w:r>
        <w:t>3.6 Global software control</w:t>
      </w:r>
    </w:p>
    <w:p>
      <w:pPr>
        <w:pStyle w:val="Heading3"/>
        <w:keepNext/>
      </w:pPr>
      <w:r>
        <w:t>3.6.1 Synchronous and asynchronous strategy</w:t>
      </w:r>
    </w:p>
    <w:p>
      <w:pPr>
        <w:widowControl/>
        <w:jc w:val="both"/>
      </w:pPr>
      <w:r>
        <w:rPr>
          <w:rFonts w:ascii="Calibri" w:hAnsi="Calibri"/>
          <w:b w:val="0"/>
          <w:i w:val="0"/>
          <w:color w:val="111827"/>
          <w:sz w:val="20"/>
        </w:rPr>
        <w:t>Kısa işlemler senkron yürür: oturum, proje metadata okuma/yazma, AOI biçim doğrulama, iş oluşturma, durum sorgulama ve signed URL üretme. Veri indirme, raster ön işleme, eğitim, inference, forecasting ve rapor paketleme asenkron yürür. API bu işler için 202 Accepted ve job identifier döndürür. Kullanıcı durumu polling veya server-sent event ile izler; worker hiçbir zaman tarayıcı bağlantısının açık kalmasına güvenmez.</w:t>
      </w:r>
    </w:p>
    <w:p>
      <w:pPr>
        <w:keepNext/>
        <w:jc w:val="center"/>
      </w:pPr>
      <w:r>
        <w:drawing>
          <wp:inline xmlns:a="http://schemas.openxmlformats.org/drawingml/2006/main" xmlns:pic="http://schemas.openxmlformats.org/drawingml/2006/picture">
            <wp:extent cx="5989320" cy="2935941"/>
            <wp:docPr id="6" name="Picture 6"/>
            <wp:cNvGraphicFramePr>
              <a:graphicFrameLocks noChangeAspect="1"/>
            </wp:cNvGraphicFramePr>
            <a:graphic>
              <a:graphicData uri="http://schemas.openxmlformats.org/drawingml/2006/picture">
                <pic:pic>
                  <pic:nvPicPr>
                    <pic:cNvPr id="0" name="job_state_machine.png"/>
                    <pic:cNvPicPr/>
                  </pic:nvPicPr>
                  <pic:blipFill>
                    <a:blip r:embed="rId16"/>
                    <a:stretch>
                      <a:fillRect/>
                    </a:stretch>
                  </pic:blipFill>
                  <pic:spPr>
                    <a:xfrm>
                      <a:off x="0" y="0"/>
                      <a:ext cx="5989320" cy="2935941"/>
                    </a:xfrm>
                    <a:prstGeom prst="rect"/>
                  </pic:spPr>
                </pic:pic>
              </a:graphicData>
            </a:graphic>
          </wp:inline>
        </w:drawing>
      </w:r>
    </w:p>
    <w:p>
      <w:pPr>
        <w:pStyle w:val="Caption"/>
        <w:spacing w:before="40" w:after="160"/>
        <w:jc w:val="center"/>
      </w:pPr>
      <w:r>
        <w:t>Şekil 5. Asenkron job state machine ve retry/reconciliation yolları.</w:t>
      </w:r>
    </w:p>
    <w:p>
      <w:pPr>
        <w:widowControl/>
        <w:jc w:val="both"/>
      </w:pPr>
      <w:r>
        <w:rPr>
          <w:rFonts w:ascii="Calibri" w:hAnsi="Calibri"/>
          <w:b w:val="0"/>
          <w:i w:val="0"/>
          <w:color w:val="111827"/>
          <w:sz w:val="20"/>
        </w:rPr>
        <w:t>Job state transitionları optimistic locking/version alanıyla korunur. Aynı worker lease'i olmayan süreç RUNNING işi tamamlayamaz. Her uzun adım kontrollü checkpoint üretir; örneğin sahne listesi, mevsimsel kompozit, tile batch veya epoch sınırında ilerleme kaydedilir. Graceful shutdown yeni iş almayı durdurur, aktif adımın güvenli checkpoint'e ulaşmasını bekler ve kalan işi yeniden kuyruğa uygun durumda bırakır.</w:t>
      </w:r>
    </w:p>
    <w:p>
      <w:pPr>
        <w:pStyle w:val="Heading3"/>
        <w:keepNext/>
      </w:pPr>
      <w:r>
        <w:t>3.6.2 Retry, circuit breaker and fallback</w:t>
      </w:r>
    </w:p>
    <w:tbl>
      <w:tblPr>
        <w:tblStyle w:val="TableGrid"/>
        <w:jc w:val="left"/>
        <w:tblLook w:firstColumn="1" w:firstRow="1" w:lastColumn="0" w:lastRow="0" w:noHBand="0" w:noVBand="1" w:val="04A0"/>
        <w:tblW w:w="9475" w:type="dxa"/>
        <w:tblInd w:w="120" w:type="dxa"/>
        <w:tblLayout w:type="fixed"/>
      </w:tblPr>
      <w:tblGrid>
        <w:gridCol w:w="1944"/>
        <w:gridCol w:w="2232"/>
        <w:gridCol w:w="3283"/>
        <w:gridCol w:w="2015"/>
      </w:tblGrid>
      <w:tr>
        <w:trPr>
          <w:tblHeader w:val="true"/>
        </w:trPr>
        <w:tc>
          <w:tcPr>
            <w:tcW w:type="dxa" w:w="1944"/>
            <w:tcMar>
              <w:top w:w="72" w:type="dxa"/>
              <w:start w:w="110" w:type="dxa"/>
              <w:bottom w:w="72" w:type="dxa"/>
              <w:end w:w="110" w:type="dxa"/>
            </w:tcMar>
            <w:vAlign w:val="center"/>
            <w:shd w:fill="0C2854"/>
          </w:tcPr>
          <w:p>
            <w:pPr>
              <w:spacing w:after="0"/>
              <w:jc w:val="center"/>
            </w:pPr>
            <w:r>
              <w:rPr>
                <w:rFonts w:ascii="Calibri" w:hAnsi="Calibri"/>
                <w:b/>
                <w:i w:val="0"/>
                <w:color w:val="FFFFFF"/>
                <w:sz w:val="16"/>
              </w:rPr>
              <w:t>Hata sınıfı</w:t>
            </w:r>
          </w:p>
        </w:tc>
        <w:tc>
          <w:tcPr>
            <w:tcW w:type="dxa" w:w="2232"/>
            <w:tcMar>
              <w:top w:w="72" w:type="dxa"/>
              <w:start w:w="110" w:type="dxa"/>
              <w:bottom w:w="72" w:type="dxa"/>
              <w:end w:w="110" w:type="dxa"/>
            </w:tcMar>
            <w:vAlign w:val="center"/>
            <w:shd w:fill="0C2854"/>
          </w:tcPr>
          <w:p>
            <w:pPr>
              <w:spacing w:after="0"/>
              <w:jc w:val="center"/>
            </w:pPr>
            <w:r>
              <w:rPr>
                <w:rFonts w:ascii="Calibri" w:hAnsi="Calibri"/>
                <w:b/>
                <w:i w:val="0"/>
                <w:color w:val="FFFFFF"/>
                <w:sz w:val="16"/>
              </w:rPr>
              <w:t>Retry</w:t>
            </w:r>
          </w:p>
        </w:tc>
        <w:tc>
          <w:tcPr>
            <w:tcW w:type="dxa" w:w="3283"/>
            <w:tcMar>
              <w:top w:w="72" w:type="dxa"/>
              <w:start w:w="110" w:type="dxa"/>
              <w:bottom w:w="72" w:type="dxa"/>
              <w:end w:w="110" w:type="dxa"/>
            </w:tcMar>
            <w:vAlign w:val="center"/>
            <w:shd w:fill="0C2854"/>
          </w:tcPr>
          <w:p>
            <w:pPr>
              <w:spacing w:after="0"/>
              <w:jc w:val="center"/>
            </w:pPr>
            <w:r>
              <w:rPr>
                <w:rFonts w:ascii="Calibri" w:hAnsi="Calibri"/>
                <w:b/>
                <w:i w:val="0"/>
                <w:color w:val="FFFFFF"/>
                <w:sz w:val="16"/>
              </w:rPr>
              <w:t>Circuit breaker / fallback</w:t>
            </w:r>
          </w:p>
        </w:tc>
        <w:tc>
          <w:tcPr>
            <w:tcW w:type="dxa" w:w="2015"/>
            <w:tcMar>
              <w:top w:w="72" w:type="dxa"/>
              <w:start w:w="110" w:type="dxa"/>
              <w:bottom w:w="72" w:type="dxa"/>
              <w:end w:w="110" w:type="dxa"/>
            </w:tcMar>
            <w:vAlign w:val="center"/>
            <w:shd w:fill="0C2854"/>
          </w:tcPr>
          <w:p>
            <w:pPr>
              <w:spacing w:after="0"/>
              <w:jc w:val="center"/>
            </w:pPr>
            <w:r>
              <w:rPr>
                <w:rFonts w:ascii="Calibri" w:hAnsi="Calibri"/>
                <w:b/>
                <w:i w:val="0"/>
                <w:color w:val="FFFFFF"/>
                <w:sz w:val="16"/>
              </w:rPr>
              <w:t>Kullanıcı sonucu</w:t>
            </w:r>
          </w:p>
        </w:tc>
      </w:tr>
      <w:tr>
        <w:tc>
          <w:tcPr>
            <w:tcW w:type="dxa" w:w="1944"/>
          </w:tcPr>
          <w:p>
            <w:pPr>
              <w:spacing w:after="0"/>
              <w:jc w:val="left"/>
            </w:pPr>
            <w:r>
              <w:rPr>
                <w:rFonts w:ascii="Calibri" w:hAnsi="Calibri"/>
                <w:b/>
                <w:i w:val="0"/>
                <w:color w:val="111827"/>
                <w:sz w:val="16"/>
              </w:rPr>
              <w:t>Provider timeout / 429 / 5xx</w:t>
            </w:r>
          </w:p>
        </w:tc>
        <w:tc>
          <w:tcPr>
            <w:tcW w:type="dxa" w:w="2232"/>
          </w:tcPr>
          <w:p>
            <w:pPr>
              <w:spacing w:after="0"/>
              <w:jc w:val="left"/>
            </w:pPr>
            <w:r>
              <w:rPr>
                <w:rFonts w:ascii="Calibri" w:hAnsi="Calibri"/>
                <w:b w:val="0"/>
                <w:i w:val="0"/>
                <w:color w:val="111827"/>
                <w:sz w:val="16"/>
              </w:rPr>
              <w:t>3 deneme; 2, 4, 8 dk + jitter; Retry-After'a uy</w:t>
            </w:r>
          </w:p>
        </w:tc>
        <w:tc>
          <w:tcPr>
            <w:tcW w:type="dxa" w:w="3283"/>
          </w:tcPr>
          <w:p>
            <w:pPr>
              <w:spacing w:after="0"/>
              <w:jc w:val="left"/>
            </w:pPr>
            <w:r>
              <w:rPr>
                <w:rFonts w:ascii="Calibri" w:hAnsi="Calibri"/>
                <w:b w:val="0"/>
                <w:i w:val="0"/>
                <w:color w:val="111827"/>
                <w:sz w:val="16"/>
              </w:rPr>
              <w:t>5 ardışık hata → 60 sn open; local manifest varsa kullan</w:t>
            </w:r>
          </w:p>
        </w:tc>
        <w:tc>
          <w:tcPr>
            <w:tcW w:type="dxa" w:w="2015"/>
          </w:tcPr>
          <w:p>
            <w:pPr>
              <w:spacing w:after="0"/>
              <w:jc w:val="left"/>
            </w:pPr>
            <w:r>
              <w:rPr>
                <w:rFonts w:ascii="Calibri" w:hAnsi="Calibri"/>
                <w:b w:val="0"/>
                <w:i w:val="0"/>
                <w:color w:val="111827"/>
                <w:sz w:val="16"/>
              </w:rPr>
              <w:t>RETRY_WAIT; sağlayıcı durumu görünür</w:t>
            </w:r>
          </w:p>
        </w:tc>
      </w:tr>
      <w:tr>
        <w:tc>
          <w:tcPr>
            <w:tcW w:type="dxa" w:w="1944"/>
            <w:shd w:fill="F4F7FB"/>
          </w:tcPr>
          <w:p>
            <w:pPr>
              <w:spacing w:after="0"/>
              <w:jc w:val="left"/>
            </w:pPr>
            <w:r>
              <w:rPr>
                <w:rFonts w:ascii="Calibri" w:hAnsi="Calibri"/>
                <w:b/>
                <w:i w:val="0"/>
                <w:color w:val="111827"/>
                <w:sz w:val="16"/>
              </w:rPr>
              <w:t>Checksum / bozuk indirme</w:t>
            </w:r>
          </w:p>
        </w:tc>
        <w:tc>
          <w:tcPr>
            <w:tcW w:type="dxa" w:w="2232"/>
            <w:shd w:fill="F4F7FB"/>
          </w:tcPr>
          <w:p>
            <w:pPr>
              <w:spacing w:after="0"/>
              <w:jc w:val="left"/>
            </w:pPr>
            <w:r>
              <w:rPr>
                <w:rFonts w:ascii="Calibri" w:hAnsi="Calibri"/>
                <w:b w:val="0"/>
                <w:i w:val="0"/>
                <w:color w:val="111827"/>
                <w:sz w:val="16"/>
              </w:rPr>
              <w:t>Bir temiz yeniden indirme</w:t>
            </w:r>
          </w:p>
        </w:tc>
        <w:tc>
          <w:tcPr>
            <w:tcW w:type="dxa" w:w="3283"/>
            <w:shd w:fill="F4F7FB"/>
          </w:tcPr>
          <w:p>
            <w:pPr>
              <w:spacing w:after="0"/>
              <w:jc w:val="left"/>
            </w:pPr>
            <w:r>
              <w:rPr>
                <w:rFonts w:ascii="Calibri" w:hAnsi="Calibri"/>
                <w:b w:val="0"/>
                <w:i w:val="0"/>
                <w:color w:val="111827"/>
                <w:sz w:val="16"/>
              </w:rPr>
              <w:t>Aynı scene tekrar bozuksa provider/data quarantine</w:t>
            </w:r>
          </w:p>
        </w:tc>
        <w:tc>
          <w:tcPr>
            <w:tcW w:type="dxa" w:w="2015"/>
            <w:shd w:fill="F4F7FB"/>
          </w:tcPr>
          <w:p>
            <w:pPr>
              <w:spacing w:after="0"/>
              <w:jc w:val="left"/>
            </w:pPr>
            <w:r>
              <w:rPr>
                <w:rFonts w:ascii="Calibri" w:hAnsi="Calibri"/>
                <w:b w:val="0"/>
                <w:i w:val="0"/>
                <w:color w:val="111827"/>
                <w:sz w:val="16"/>
              </w:rPr>
              <w:t>FAILED veya eksik dönem; sessiz kullanma yok</w:t>
            </w:r>
          </w:p>
        </w:tc>
      </w:tr>
      <w:tr>
        <w:tc>
          <w:tcPr>
            <w:tcW w:type="dxa" w:w="1944"/>
          </w:tcPr>
          <w:p>
            <w:pPr>
              <w:spacing w:after="0"/>
              <w:jc w:val="left"/>
            </w:pPr>
            <w:r>
              <w:rPr>
                <w:rFonts w:ascii="Calibri" w:hAnsi="Calibri"/>
                <w:b/>
                <w:i w:val="0"/>
                <w:color w:val="111827"/>
                <w:sz w:val="16"/>
              </w:rPr>
              <w:t>GPU OOM</w:t>
            </w:r>
          </w:p>
        </w:tc>
        <w:tc>
          <w:tcPr>
            <w:tcW w:type="dxa" w:w="2232"/>
          </w:tcPr>
          <w:p>
            <w:pPr>
              <w:spacing w:after="0"/>
              <w:jc w:val="left"/>
            </w:pPr>
            <w:r>
              <w:rPr>
                <w:rFonts w:ascii="Calibri" w:hAnsi="Calibri"/>
                <w:b w:val="0"/>
                <w:i w:val="0"/>
                <w:color w:val="111827"/>
                <w:sz w:val="16"/>
              </w:rPr>
              <w:t>En çok 1 retry; onaylı daha küçük batch/patch profili</w:t>
            </w:r>
          </w:p>
        </w:tc>
        <w:tc>
          <w:tcPr>
            <w:tcW w:type="dxa" w:w="3283"/>
          </w:tcPr>
          <w:p>
            <w:pPr>
              <w:spacing w:after="0"/>
              <w:jc w:val="left"/>
            </w:pPr>
            <w:r>
              <w:rPr>
                <w:rFonts w:ascii="Calibri" w:hAnsi="Calibri"/>
                <w:b w:val="0"/>
                <w:i w:val="0"/>
                <w:color w:val="111827"/>
                <w:sz w:val="16"/>
              </w:rPr>
              <w:t>CPU fallback yalnız smoke/inference politikası izin verirse</w:t>
            </w:r>
          </w:p>
        </w:tc>
        <w:tc>
          <w:tcPr>
            <w:tcW w:type="dxa" w:w="2015"/>
          </w:tcPr>
          <w:p>
            <w:pPr>
              <w:spacing w:after="0"/>
              <w:jc w:val="left"/>
            </w:pPr>
            <w:r>
              <w:rPr>
                <w:rFonts w:ascii="Calibri" w:hAnsi="Calibri"/>
                <w:b w:val="0"/>
                <w:i w:val="0"/>
                <w:color w:val="111827"/>
                <w:sz w:val="16"/>
              </w:rPr>
              <w:t>Config değişikliği provenance'a yazılır</w:t>
            </w:r>
          </w:p>
        </w:tc>
      </w:tr>
      <w:tr>
        <w:tc>
          <w:tcPr>
            <w:tcW w:type="dxa" w:w="1944"/>
            <w:shd w:fill="F4F7FB"/>
          </w:tcPr>
          <w:p>
            <w:pPr>
              <w:spacing w:after="0"/>
              <w:jc w:val="left"/>
            </w:pPr>
            <w:r>
              <w:rPr>
                <w:rFonts w:ascii="Calibri" w:hAnsi="Calibri"/>
                <w:b/>
                <w:i w:val="0"/>
                <w:color w:val="111827"/>
                <w:sz w:val="16"/>
              </w:rPr>
              <w:t>Worker ölümü / lease timeout</w:t>
            </w:r>
          </w:p>
        </w:tc>
        <w:tc>
          <w:tcPr>
            <w:tcW w:type="dxa" w:w="2232"/>
            <w:shd w:fill="F4F7FB"/>
          </w:tcPr>
          <w:p>
            <w:pPr>
              <w:spacing w:after="0"/>
              <w:jc w:val="left"/>
            </w:pPr>
            <w:r>
              <w:rPr>
                <w:rFonts w:ascii="Calibri" w:hAnsi="Calibri"/>
                <w:b w:val="0"/>
                <w:i w:val="0"/>
                <w:color w:val="111827"/>
                <w:sz w:val="16"/>
              </w:rPr>
              <w:t>Checkpoint'ten yeniden kuyruğa</w:t>
            </w:r>
          </w:p>
        </w:tc>
        <w:tc>
          <w:tcPr>
            <w:tcW w:type="dxa" w:w="3283"/>
            <w:shd w:fill="F4F7FB"/>
          </w:tcPr>
          <w:p>
            <w:pPr>
              <w:spacing w:after="0"/>
              <w:jc w:val="left"/>
            </w:pPr>
            <w:r>
              <w:rPr>
                <w:rFonts w:ascii="Calibri" w:hAnsi="Calibri"/>
                <w:b w:val="0"/>
                <w:i w:val="0"/>
                <w:color w:val="111827"/>
                <w:sz w:val="16"/>
              </w:rPr>
              <w:t>Attempt budget + orphan artifact cleanup</w:t>
            </w:r>
          </w:p>
        </w:tc>
        <w:tc>
          <w:tcPr>
            <w:tcW w:type="dxa" w:w="2015"/>
            <w:shd w:fill="F4F7FB"/>
          </w:tcPr>
          <w:p>
            <w:pPr>
              <w:spacing w:after="0"/>
              <w:jc w:val="left"/>
            </w:pPr>
            <w:r>
              <w:rPr>
                <w:rFonts w:ascii="Calibri" w:hAnsi="Calibri"/>
                <w:b w:val="0"/>
                <w:i w:val="0"/>
                <w:color w:val="111827"/>
                <w:sz w:val="16"/>
              </w:rPr>
              <w:t>İlerleme geri alınabilir; duplicate publish yok</w:t>
            </w:r>
          </w:p>
        </w:tc>
      </w:tr>
      <w:tr>
        <w:tc>
          <w:tcPr>
            <w:tcW w:type="dxa" w:w="1944"/>
          </w:tcPr>
          <w:p>
            <w:pPr>
              <w:spacing w:after="0"/>
              <w:jc w:val="left"/>
            </w:pPr>
            <w:r>
              <w:rPr>
                <w:rFonts w:ascii="Calibri" w:hAnsi="Calibri"/>
                <w:b/>
                <w:i w:val="0"/>
                <w:color w:val="111827"/>
                <w:sz w:val="16"/>
              </w:rPr>
              <w:t>Validation / authorization</w:t>
            </w:r>
          </w:p>
        </w:tc>
        <w:tc>
          <w:tcPr>
            <w:tcW w:type="dxa" w:w="2232"/>
          </w:tcPr>
          <w:p>
            <w:pPr>
              <w:spacing w:after="0"/>
              <w:jc w:val="left"/>
            </w:pPr>
            <w:r>
              <w:rPr>
                <w:rFonts w:ascii="Calibri" w:hAnsi="Calibri"/>
                <w:b w:val="0"/>
                <w:i w:val="0"/>
                <w:color w:val="111827"/>
                <w:sz w:val="16"/>
              </w:rPr>
              <w:t>Yok</w:t>
            </w:r>
          </w:p>
        </w:tc>
        <w:tc>
          <w:tcPr>
            <w:tcW w:type="dxa" w:w="3283"/>
          </w:tcPr>
          <w:p>
            <w:pPr>
              <w:spacing w:after="0"/>
              <w:jc w:val="left"/>
            </w:pPr>
            <w:r>
              <w:rPr>
                <w:rFonts w:ascii="Calibri" w:hAnsi="Calibri"/>
                <w:b w:val="0"/>
                <w:i w:val="0"/>
                <w:color w:val="111827"/>
                <w:sz w:val="16"/>
              </w:rPr>
              <w:t>Yok; fail fast</w:t>
            </w:r>
          </w:p>
        </w:tc>
        <w:tc>
          <w:tcPr>
            <w:tcW w:type="dxa" w:w="2015"/>
          </w:tcPr>
          <w:p>
            <w:pPr>
              <w:spacing w:after="0"/>
              <w:jc w:val="left"/>
            </w:pPr>
            <w:r>
              <w:rPr>
                <w:rFonts w:ascii="Calibri" w:hAnsi="Calibri"/>
                <w:b w:val="0"/>
                <w:i w:val="0"/>
                <w:color w:val="111827"/>
                <w:sz w:val="16"/>
              </w:rPr>
              <w:t>4xx ve düzeltilmesi gereken alan</w:t>
            </w:r>
          </w:p>
        </w:tc>
      </w:tr>
      <w:tr>
        <w:tc>
          <w:tcPr>
            <w:tcW w:type="dxa" w:w="1944"/>
            <w:shd w:fill="F4F7FB"/>
          </w:tcPr>
          <w:p>
            <w:pPr>
              <w:spacing w:after="0"/>
              <w:jc w:val="left"/>
            </w:pPr>
            <w:r>
              <w:rPr>
                <w:rFonts w:ascii="Calibri" w:hAnsi="Calibri"/>
                <w:b/>
                <w:i w:val="0"/>
                <w:color w:val="111827"/>
                <w:sz w:val="16"/>
              </w:rPr>
              <w:t>DB unavailable</w:t>
            </w:r>
          </w:p>
        </w:tc>
        <w:tc>
          <w:tcPr>
            <w:tcW w:type="dxa" w:w="2232"/>
            <w:shd w:fill="F4F7FB"/>
          </w:tcPr>
          <w:p>
            <w:pPr>
              <w:spacing w:after="0"/>
              <w:jc w:val="left"/>
            </w:pPr>
            <w:r>
              <w:rPr>
                <w:rFonts w:ascii="Calibri" w:hAnsi="Calibri"/>
                <w:b w:val="0"/>
                <w:i w:val="0"/>
                <w:color w:val="111827"/>
                <w:sz w:val="16"/>
              </w:rPr>
              <w:t>Kısa bağlantı retry; yeni iş yok</w:t>
            </w:r>
          </w:p>
        </w:tc>
        <w:tc>
          <w:tcPr>
            <w:tcW w:type="dxa" w:w="3283"/>
            <w:shd w:fill="F4F7FB"/>
          </w:tcPr>
          <w:p>
            <w:pPr>
              <w:spacing w:after="0"/>
              <w:jc w:val="left"/>
            </w:pPr>
            <w:r>
              <w:rPr>
                <w:rFonts w:ascii="Calibri" w:hAnsi="Calibri"/>
                <w:b w:val="0"/>
                <w:i w:val="0"/>
                <w:color w:val="111827"/>
                <w:sz w:val="16"/>
              </w:rPr>
              <w:t>Read-only health sayfası; queue consume pause</w:t>
            </w:r>
          </w:p>
        </w:tc>
        <w:tc>
          <w:tcPr>
            <w:tcW w:type="dxa" w:w="2015"/>
            <w:shd w:fill="F4F7FB"/>
          </w:tcPr>
          <w:p>
            <w:pPr>
              <w:spacing w:after="0"/>
              <w:jc w:val="left"/>
            </w:pPr>
            <w:r>
              <w:rPr>
                <w:rFonts w:ascii="Calibri" w:hAnsi="Calibri"/>
                <w:b w:val="0"/>
                <w:i w:val="0"/>
                <w:color w:val="111827"/>
                <w:sz w:val="16"/>
              </w:rPr>
              <w:t>503; kalıcı state olmadan kabul yok</w:t>
            </w:r>
          </w:p>
        </w:tc>
      </w:tr>
      <w:tr>
        <w:tc>
          <w:tcPr>
            <w:tcW w:type="dxa" w:w="1944"/>
          </w:tcPr>
          <w:p>
            <w:pPr>
              <w:spacing w:after="0"/>
              <w:jc w:val="left"/>
            </w:pPr>
            <w:r>
              <w:rPr>
                <w:rFonts w:ascii="Calibri" w:hAnsi="Calibri"/>
                <w:b/>
                <w:i w:val="0"/>
                <w:color w:val="111827"/>
                <w:sz w:val="16"/>
              </w:rPr>
              <w:t>LSTM çalışmıyor / kalite eşiği altı</w:t>
            </w:r>
          </w:p>
        </w:tc>
        <w:tc>
          <w:tcPr>
            <w:tcW w:type="dxa" w:w="2232"/>
          </w:tcPr>
          <w:p>
            <w:pPr>
              <w:spacing w:after="0"/>
              <w:jc w:val="left"/>
            </w:pPr>
            <w:r>
              <w:rPr>
                <w:rFonts w:ascii="Calibri" w:hAnsi="Calibri"/>
                <w:b w:val="0"/>
                <w:i w:val="0"/>
                <w:color w:val="111827"/>
                <w:sz w:val="16"/>
              </w:rPr>
              <w:t>Otomatik retry yok; yalnız düzeltilmiş config ile yeni run</w:t>
            </w:r>
          </w:p>
        </w:tc>
        <w:tc>
          <w:tcPr>
            <w:tcW w:type="dxa" w:w="3283"/>
          </w:tcPr>
          <w:p>
            <w:pPr>
              <w:spacing w:after="0"/>
              <w:jc w:val="left"/>
            </w:pPr>
            <w:r>
              <w:rPr>
                <w:rFonts w:ascii="Calibri" w:hAnsi="Calibri"/>
                <w:b w:val="0"/>
                <w:i w:val="0"/>
                <w:color w:val="111827"/>
                <w:sz w:val="16"/>
              </w:rPr>
              <w:t>Baseline yalnız tanısal taslak; Mamba/TimesFM zorunlu LSTM'in yerine geçmez</w:t>
            </w:r>
          </w:p>
        </w:tc>
        <w:tc>
          <w:tcPr>
            <w:tcW w:type="dxa" w:w="2015"/>
          </w:tcPr>
          <w:p>
            <w:pPr>
              <w:spacing w:after="0"/>
              <w:jc w:val="left"/>
            </w:pPr>
            <w:r>
              <w:rPr>
                <w:rFonts w:ascii="Calibri" w:hAnsi="Calibri"/>
                <w:b w:val="0"/>
                <w:i w:val="0"/>
                <w:color w:val="111827"/>
                <w:sz w:val="16"/>
              </w:rPr>
              <w:t>FAILED/REVIEW; PUBLISHED yasak</w:t>
            </w:r>
          </w:p>
        </w:tc>
      </w:tr>
    </w:tbl>
    <w:p>
      <w:pPr>
        <w:spacing w:after="20"/>
      </w:pPr>
    </w:p>
    <w:p>
      <w:pPr>
        <w:widowControl/>
        <w:jc w:val="both"/>
      </w:pPr>
      <w:r>
        <w:rPr>
          <w:rFonts w:ascii="Calibri" w:hAnsi="Calibri"/>
          <w:b w:val="0"/>
          <w:i w:val="0"/>
          <w:color w:val="111827"/>
          <w:sz w:val="20"/>
        </w:rPr>
        <w:t>Retry yalnız idempotent veya idempotency anahtarıyla korunan adımlarda yapılır. Her retry yeni attempt kaydı oluşturur; önceki hata kodu, stack trace referansı ve zaman korunur. Fallback bilimsel anlamı değiştirdiğinde gizli değildir: kullanılan veri sağlayıcısı, model veya patch profili rapora eklenir. Baseline-only çıktı yalnız tanısal artifacttir; ana MVP sonucuna fallback sayılmaz ve PUBLISHED olamaz. Circuit breaker worker kaynaklarını dış sistemin sürekli hatasına harcamayı engeller; yarı-açık durumda sınırlı probe isteği yapılır.</w:t>
      </w:r>
    </w:p>
    <w:p>
      <w:pPr>
        <w:pStyle w:val="Heading3"/>
        <w:keepNext/>
      </w:pPr>
      <w:r>
        <w:t>3.6.3 Concurrency, scheduling and backpressure</w:t>
      </w:r>
    </w:p>
    <w:p>
      <w:pPr>
        <w:widowControl/>
        <w:jc w:val="both"/>
      </w:pPr>
      <w:r>
        <w:rPr>
          <w:rFonts w:ascii="Calibri" w:hAnsi="Calibri"/>
          <w:b w:val="0"/>
          <w:i w:val="0"/>
          <w:color w:val="111827"/>
          <w:sz w:val="20"/>
        </w:rPr>
        <w:t>Queue'lar iş türüne göre ayrılır: io-data, cpu-preprocess, gpu-train, gpu-inference ve report. Başlangıçta bir GPU eğitim işi, en fazla iki inference işi ve kaynak ölçümüne bağlı CPU concurrency kullanılır. Aynı project-year-season-composite anahtarında distributed lock veya DB unique constraint duplicate üretimi engeller. Kuyruk derinliği, tahmini bekleme ve disk/GPU basıncı API'ye geri bildirilir. Kota aşımında yeni iş 429 veya politika gereği QUEUED_LIMIT durumuyla reddedilir; sistem belleği tüketene kadar sınırsız iş kabul etmez.</w:t>
      </w:r>
    </w:p>
    <w:p>
      <w:pPr>
        <w:widowControl/>
        <w:jc w:val="both"/>
      </w:pPr>
      <w:r>
        <w:rPr>
          <w:rFonts w:ascii="Calibri" w:hAnsi="Calibri"/>
          <w:b w:val="0"/>
          <w:i w:val="0"/>
          <w:color w:val="111827"/>
          <w:sz w:val="20"/>
        </w:rPr>
        <w:t>Scheduler önceliği kullanıcı rolünden ziyade iş sınıfı ve yaşa göre adil belirler: kısa inference ve export işleri eğitim tarafından süresiz aç bırakılmaz; admin acil işi açık audit gerekçesiyle öne alabilir. Eğitim workerı GPU belleği ve sıcaklık telemetrisi eşiklerini aşarsa yeni batch başlatmaz. Diskte geçici alan alt eşiğe düşerse data acquisition ve preprocessing pause olur, ancak kullanıcı mevcut sonuçlarını okuyabilir.</w:t>
      </w:r>
    </w:p>
    <w:p>
      <w:pPr>
        <w:pStyle w:val="Heading3"/>
        <w:keepNext/>
      </w:pPr>
      <w:r>
        <w:t>3.6.4 Observability and operational objectives</w:t>
      </w:r>
    </w:p>
    <w:tbl>
      <w:tblPr>
        <w:tblStyle w:val="TableGrid"/>
        <w:jc w:val="left"/>
        <w:tblLook w:firstColumn="1" w:firstRow="1" w:lastColumn="0" w:lastRow="0" w:noHBand="0" w:noVBand="1" w:val="04A0"/>
        <w:tblW w:w="9475" w:type="dxa"/>
        <w:tblInd w:w="120" w:type="dxa"/>
        <w:tblLayout w:type="fixed"/>
      </w:tblPr>
      <w:tblGrid>
        <w:gridCol w:w="1655"/>
        <w:gridCol w:w="3240"/>
        <w:gridCol w:w="4579"/>
      </w:tblGrid>
      <w:tr>
        <w:trPr>
          <w:tblHeader w:val="true"/>
        </w:trPr>
        <w:tc>
          <w:tcPr>
            <w:tcW w:type="dxa" w:w="1655"/>
            <w:tcMar>
              <w:top w:w="72" w:type="dxa"/>
              <w:start w:w="110" w:type="dxa"/>
              <w:bottom w:w="72" w:type="dxa"/>
              <w:end w:w="110" w:type="dxa"/>
            </w:tcMar>
            <w:vAlign w:val="center"/>
            <w:shd w:fill="0C2854"/>
          </w:tcPr>
          <w:p>
            <w:pPr>
              <w:spacing w:after="0"/>
              <w:jc w:val="center"/>
            </w:pPr>
            <w:r>
              <w:rPr>
                <w:rFonts w:ascii="Calibri" w:hAnsi="Calibri"/>
                <w:b/>
                <w:i w:val="0"/>
                <w:color w:val="FFFFFF"/>
                <w:sz w:val="17"/>
              </w:rPr>
              <w:t>Sinyal</w:t>
            </w:r>
          </w:p>
        </w:tc>
        <w:tc>
          <w:tcPr>
            <w:tcW w:type="dxa" w:w="3240"/>
            <w:tcMar>
              <w:top w:w="72" w:type="dxa"/>
              <w:start w:w="110" w:type="dxa"/>
              <w:bottom w:w="72" w:type="dxa"/>
              <w:end w:w="110" w:type="dxa"/>
            </w:tcMar>
            <w:vAlign w:val="center"/>
            <w:shd w:fill="0C2854"/>
          </w:tcPr>
          <w:p>
            <w:pPr>
              <w:spacing w:after="0"/>
              <w:jc w:val="center"/>
            </w:pPr>
            <w:r>
              <w:rPr>
                <w:rFonts w:ascii="Calibri" w:hAnsi="Calibri"/>
                <w:b/>
                <w:i w:val="0"/>
                <w:color w:val="FFFFFF"/>
                <w:sz w:val="17"/>
              </w:rPr>
              <w:t>Örnek ölçüm</w:t>
            </w:r>
          </w:p>
        </w:tc>
        <w:tc>
          <w:tcPr>
            <w:tcW w:type="dxa" w:w="4579"/>
            <w:tcMar>
              <w:top w:w="72" w:type="dxa"/>
              <w:start w:w="110" w:type="dxa"/>
              <w:bottom w:w="72" w:type="dxa"/>
              <w:end w:w="110" w:type="dxa"/>
            </w:tcMar>
            <w:vAlign w:val="center"/>
            <w:shd w:fill="0C2854"/>
          </w:tcPr>
          <w:p>
            <w:pPr>
              <w:spacing w:after="0"/>
              <w:jc w:val="center"/>
            </w:pPr>
            <w:r>
              <w:rPr>
                <w:rFonts w:ascii="Calibri" w:hAnsi="Calibri"/>
                <w:b/>
                <w:i w:val="0"/>
                <w:color w:val="FFFFFF"/>
                <w:sz w:val="17"/>
              </w:rPr>
              <w:t>Alarm / hedef</w:t>
            </w:r>
          </w:p>
        </w:tc>
      </w:tr>
      <w:tr>
        <w:tc>
          <w:tcPr>
            <w:tcW w:type="dxa" w:w="1655"/>
          </w:tcPr>
          <w:p>
            <w:pPr>
              <w:spacing w:after="0"/>
              <w:jc w:val="left"/>
            </w:pPr>
            <w:r>
              <w:rPr>
                <w:rFonts w:ascii="Calibri" w:hAnsi="Calibri"/>
                <w:b/>
                <w:i w:val="0"/>
                <w:color w:val="111827"/>
                <w:sz w:val="17"/>
              </w:rPr>
              <w:t>API</w:t>
            </w:r>
          </w:p>
        </w:tc>
        <w:tc>
          <w:tcPr>
            <w:tcW w:type="dxa" w:w="3240"/>
          </w:tcPr>
          <w:p>
            <w:pPr>
              <w:spacing w:after="0"/>
              <w:jc w:val="left"/>
            </w:pPr>
            <w:r>
              <w:rPr>
                <w:rFonts w:ascii="Calibri" w:hAnsi="Calibri"/>
                <w:b w:val="0"/>
                <w:i w:val="0"/>
                <w:color w:val="111827"/>
                <w:sz w:val="17"/>
              </w:rPr>
              <w:t>latency p50/p95, 4xx/5xx, active sessions</w:t>
            </w:r>
          </w:p>
        </w:tc>
        <w:tc>
          <w:tcPr>
            <w:tcW w:type="dxa" w:w="4579"/>
          </w:tcPr>
          <w:p>
            <w:pPr>
              <w:spacing w:after="0"/>
              <w:jc w:val="left"/>
            </w:pPr>
            <w:r>
              <w:rPr>
                <w:rFonts w:ascii="Calibri" w:hAnsi="Calibri"/>
                <w:b w:val="0"/>
                <w:i w:val="0"/>
                <w:color w:val="111827"/>
                <w:sz w:val="17"/>
              </w:rPr>
              <w:t>Metadata p95 &lt;500 ms; 5xx oranı 5 dk boyunca &gt;2% alarm</w:t>
            </w:r>
          </w:p>
        </w:tc>
      </w:tr>
      <w:tr>
        <w:tc>
          <w:tcPr>
            <w:tcW w:type="dxa" w:w="1655"/>
            <w:shd w:fill="F4F7FB"/>
          </w:tcPr>
          <w:p>
            <w:pPr>
              <w:spacing w:after="0"/>
              <w:jc w:val="left"/>
            </w:pPr>
            <w:r>
              <w:rPr>
                <w:rFonts w:ascii="Calibri" w:hAnsi="Calibri"/>
                <w:b/>
                <w:i w:val="0"/>
                <w:color w:val="111827"/>
                <w:sz w:val="17"/>
              </w:rPr>
              <w:t>Queue</w:t>
            </w:r>
          </w:p>
        </w:tc>
        <w:tc>
          <w:tcPr>
            <w:tcW w:type="dxa" w:w="3240"/>
            <w:shd w:fill="F4F7FB"/>
          </w:tcPr>
          <w:p>
            <w:pPr>
              <w:spacing w:after="0"/>
              <w:jc w:val="left"/>
            </w:pPr>
            <w:r>
              <w:rPr>
                <w:rFonts w:ascii="Calibri" w:hAnsi="Calibri"/>
                <w:b w:val="0"/>
                <w:i w:val="0"/>
                <w:color w:val="111827"/>
                <w:sz w:val="17"/>
              </w:rPr>
              <w:t>depth, oldest age, retry count</w:t>
            </w:r>
          </w:p>
        </w:tc>
        <w:tc>
          <w:tcPr>
            <w:tcW w:type="dxa" w:w="4579"/>
            <w:shd w:fill="F4F7FB"/>
          </w:tcPr>
          <w:p>
            <w:pPr>
              <w:spacing w:after="0"/>
              <w:jc w:val="left"/>
            </w:pPr>
            <w:r>
              <w:rPr>
                <w:rFonts w:ascii="Calibri" w:hAnsi="Calibri"/>
                <w:b w:val="0"/>
                <w:i w:val="0"/>
                <w:color w:val="111827"/>
                <w:sz w:val="17"/>
              </w:rPr>
              <w:t>GPU queue oldest &gt;30 dk veya retry spike alarm</w:t>
            </w:r>
          </w:p>
        </w:tc>
      </w:tr>
      <w:tr>
        <w:tc>
          <w:tcPr>
            <w:tcW w:type="dxa" w:w="1655"/>
          </w:tcPr>
          <w:p>
            <w:pPr>
              <w:spacing w:after="0"/>
              <w:jc w:val="left"/>
            </w:pPr>
            <w:r>
              <w:rPr>
                <w:rFonts w:ascii="Calibri" w:hAnsi="Calibri"/>
                <w:b/>
                <w:i w:val="0"/>
                <w:color w:val="111827"/>
                <w:sz w:val="17"/>
              </w:rPr>
              <w:t>Worker/performance</w:t>
            </w:r>
          </w:p>
        </w:tc>
        <w:tc>
          <w:tcPr>
            <w:tcW w:type="dxa" w:w="3240"/>
          </w:tcPr>
          <w:p>
            <w:pPr>
              <w:spacing w:after="0"/>
              <w:jc w:val="left"/>
            </w:pPr>
            <w:r>
              <w:rPr>
                <w:rFonts w:ascii="Calibri" w:hAnsi="Calibri"/>
                <w:b w:val="0"/>
                <w:i w:val="0"/>
                <w:color w:val="111827"/>
                <w:sz w:val="17"/>
              </w:rPr>
              <w:t>step duration, end-to-end runtime, CPU/RAM/GPU/VRAM</w:t>
            </w:r>
          </w:p>
        </w:tc>
        <w:tc>
          <w:tcPr>
            <w:tcW w:type="dxa" w:w="4579"/>
          </w:tcPr>
          <w:p>
            <w:pPr>
              <w:spacing w:after="0"/>
              <w:jc w:val="left"/>
            </w:pPr>
            <w:r>
              <w:rPr>
                <w:rFonts w:ascii="Calibri" w:hAnsi="Calibri"/>
                <w:b w:val="0"/>
                <w:i w:val="0"/>
                <w:color w:val="111827"/>
                <w:sz w:val="17"/>
              </w:rPr>
              <w:t>Ankara preprocessing+inference &lt;8 saat ve VRAM ≤16 GB; aşım teslim engeli</w:t>
            </w:r>
          </w:p>
        </w:tc>
      </w:tr>
      <w:tr>
        <w:tc>
          <w:tcPr>
            <w:tcW w:type="dxa" w:w="1655"/>
            <w:shd w:fill="F4F7FB"/>
          </w:tcPr>
          <w:p>
            <w:pPr>
              <w:spacing w:after="0"/>
              <w:jc w:val="left"/>
            </w:pPr>
            <w:r>
              <w:rPr>
                <w:rFonts w:ascii="Calibri" w:hAnsi="Calibri"/>
                <w:b/>
                <w:i w:val="0"/>
                <w:color w:val="111827"/>
                <w:sz w:val="17"/>
              </w:rPr>
              <w:t>Data quality</w:t>
            </w:r>
          </w:p>
        </w:tc>
        <w:tc>
          <w:tcPr>
            <w:tcW w:type="dxa" w:w="3240"/>
            <w:shd w:fill="F4F7FB"/>
          </w:tcPr>
          <w:p>
            <w:pPr>
              <w:spacing w:after="0"/>
              <w:jc w:val="left"/>
            </w:pPr>
            <w:r>
              <w:rPr>
                <w:rFonts w:ascii="Calibri" w:hAnsi="Calibri"/>
                <w:b w:val="0"/>
                <w:i w:val="0"/>
                <w:color w:val="111827"/>
                <w:sz w:val="17"/>
              </w:rPr>
              <w:t>cloud/usable pixel, missing seasons, checksum</w:t>
            </w:r>
          </w:p>
        </w:tc>
        <w:tc>
          <w:tcPr>
            <w:tcW w:type="dxa" w:w="4579"/>
            <w:shd w:fill="F4F7FB"/>
          </w:tcPr>
          <w:p>
            <w:pPr>
              <w:spacing w:after="0"/>
              <w:jc w:val="left"/>
            </w:pPr>
            <w:r>
              <w:rPr>
                <w:rFonts w:ascii="Calibri" w:hAnsi="Calibri"/>
                <w:b w:val="0"/>
                <w:i w:val="0"/>
                <w:color w:val="111827"/>
                <w:sz w:val="17"/>
              </w:rPr>
              <w:t>LOW_CONFIDENCE oranı proje eşiğini aşarsa publish uyarısı</w:t>
            </w:r>
          </w:p>
        </w:tc>
      </w:tr>
      <w:tr>
        <w:tc>
          <w:tcPr>
            <w:tcW w:type="dxa" w:w="1655"/>
          </w:tcPr>
          <w:p>
            <w:pPr>
              <w:spacing w:after="0"/>
              <w:jc w:val="left"/>
            </w:pPr>
            <w:r>
              <w:rPr>
                <w:rFonts w:ascii="Calibri" w:hAnsi="Calibri"/>
                <w:b/>
                <w:i w:val="0"/>
                <w:color w:val="111827"/>
                <w:sz w:val="17"/>
              </w:rPr>
              <w:t>Model</w:t>
            </w:r>
          </w:p>
        </w:tc>
        <w:tc>
          <w:tcPr>
            <w:tcW w:type="dxa" w:w="3240"/>
          </w:tcPr>
          <w:p>
            <w:pPr>
              <w:spacing w:after="0"/>
              <w:jc w:val="left"/>
            </w:pPr>
            <w:r>
              <w:rPr>
                <w:rFonts w:ascii="Calibri" w:hAnsi="Calibri"/>
                <w:b w:val="0"/>
                <w:i w:val="0"/>
                <w:color w:val="111827"/>
                <w:sz w:val="17"/>
              </w:rPr>
              <w:t>Macro-F1/IoU, per-class drift, MAE/RMSE</w:t>
            </w:r>
          </w:p>
        </w:tc>
        <w:tc>
          <w:tcPr>
            <w:tcW w:type="dxa" w:w="4579"/>
          </w:tcPr>
          <w:p>
            <w:pPr>
              <w:spacing w:after="0"/>
              <w:jc w:val="left"/>
            </w:pPr>
            <w:r>
              <w:rPr>
                <w:rFonts w:ascii="Calibri" w:hAnsi="Calibri"/>
                <w:b w:val="0"/>
                <w:i w:val="0"/>
                <w:color w:val="111827"/>
                <w:sz w:val="17"/>
              </w:rPr>
              <w:t>NFR hedefi altı production promotion engeli</w:t>
            </w:r>
          </w:p>
        </w:tc>
      </w:tr>
      <w:tr>
        <w:tc>
          <w:tcPr>
            <w:tcW w:type="dxa" w:w="1655"/>
            <w:shd w:fill="F4F7FB"/>
          </w:tcPr>
          <w:p>
            <w:pPr>
              <w:spacing w:after="0"/>
              <w:jc w:val="left"/>
            </w:pPr>
            <w:r>
              <w:rPr>
                <w:rFonts w:ascii="Calibri" w:hAnsi="Calibri"/>
                <w:b/>
                <w:i w:val="0"/>
                <w:color w:val="111827"/>
                <w:sz w:val="17"/>
              </w:rPr>
              <w:t>Storage</w:t>
            </w:r>
          </w:p>
        </w:tc>
        <w:tc>
          <w:tcPr>
            <w:tcW w:type="dxa" w:w="3240"/>
            <w:shd w:fill="F4F7FB"/>
          </w:tcPr>
          <w:p>
            <w:pPr>
              <w:spacing w:after="0"/>
              <w:jc w:val="left"/>
            </w:pPr>
            <w:r>
              <w:rPr>
                <w:rFonts w:ascii="Calibri" w:hAnsi="Calibri"/>
                <w:b w:val="0"/>
                <w:i w:val="0"/>
                <w:color w:val="111827"/>
                <w:sz w:val="17"/>
              </w:rPr>
              <w:t>capacity, orphan/temp objects, backup age</w:t>
            </w:r>
          </w:p>
        </w:tc>
        <w:tc>
          <w:tcPr>
            <w:tcW w:type="dxa" w:w="4579"/>
            <w:shd w:fill="F4F7FB"/>
          </w:tcPr>
          <w:p>
            <w:pPr>
              <w:spacing w:after="0"/>
              <w:jc w:val="left"/>
            </w:pPr>
            <w:r>
              <w:rPr>
                <w:rFonts w:ascii="Calibri" w:hAnsi="Calibri"/>
                <w:b w:val="0"/>
                <w:i w:val="0"/>
                <w:color w:val="111827"/>
                <w:sz w:val="17"/>
              </w:rPr>
              <w:t>Disk &lt;15% boş; son başarılı backup hedefi aşarsa kritik</w:t>
            </w:r>
          </w:p>
        </w:tc>
      </w:tr>
      <w:tr>
        <w:tc>
          <w:tcPr>
            <w:tcW w:type="dxa" w:w="1655"/>
          </w:tcPr>
          <w:p>
            <w:pPr>
              <w:spacing w:after="0"/>
              <w:jc w:val="left"/>
            </w:pPr>
            <w:r>
              <w:rPr>
                <w:rFonts w:ascii="Calibri" w:hAnsi="Calibri"/>
                <w:b/>
                <w:i w:val="0"/>
                <w:color w:val="111827"/>
                <w:sz w:val="17"/>
              </w:rPr>
              <w:t>Security</w:t>
            </w:r>
          </w:p>
        </w:tc>
        <w:tc>
          <w:tcPr>
            <w:tcW w:type="dxa" w:w="3240"/>
          </w:tcPr>
          <w:p>
            <w:pPr>
              <w:spacing w:after="0"/>
              <w:jc w:val="left"/>
            </w:pPr>
            <w:r>
              <w:rPr>
                <w:rFonts w:ascii="Calibri" w:hAnsi="Calibri"/>
                <w:b w:val="0"/>
                <w:i w:val="0"/>
                <w:color w:val="111827"/>
                <w:sz w:val="17"/>
              </w:rPr>
              <w:t>access-gate failure, denied capability, export volume</w:t>
            </w:r>
          </w:p>
        </w:tc>
        <w:tc>
          <w:tcPr>
            <w:tcW w:type="dxa" w:w="4579"/>
          </w:tcPr>
          <w:p>
            <w:pPr>
              <w:spacing w:after="0"/>
              <w:jc w:val="left"/>
            </w:pPr>
            <w:r>
              <w:rPr>
                <w:rFonts w:ascii="Calibri" w:hAnsi="Calibri"/>
                <w:b w:val="0"/>
                <w:i w:val="0"/>
                <w:color w:val="111827"/>
                <w:sz w:val="17"/>
              </w:rPr>
              <w:t>Anomali eşiğinde rate-limit ve inceleme; subject/IP loglanmaz</w:t>
            </w:r>
          </w:p>
        </w:tc>
      </w:tr>
    </w:tbl>
    <w:p>
      <w:pPr>
        <w:spacing w:after="20"/>
      </w:pPr>
    </w:p>
    <w:p>
      <w:pPr>
        <w:widowControl/>
        <w:jc w:val="both"/>
      </w:pPr>
      <w:r>
        <w:rPr>
          <w:rFonts w:ascii="Calibri" w:hAnsi="Calibri"/>
          <w:b w:val="0"/>
          <w:i w:val="0"/>
          <w:color w:val="111827"/>
          <w:sz w:val="20"/>
        </w:rPr>
        <w:t>Loglar JSON ve correlation_id/job_id taşır; her servis aynı hata taxonomy'sini kullanır. Kullanıcıya güvenli, eyleme dönük hata kodu verilir; stack trace yalnız yetkili log deposundadır. Audit eventler uygulama logundan ayrıdır ve append-only saklanır. Telemetry sistemi geçici olarak kullanılamazsa bilimsel iş devam edebilir, fakat audit yazımı başarısızsa güvenlik açısından kritik değişiklik commit edilmez.</w:t>
      </w:r>
    </w:p>
    <w:p>
      <w:pPr>
        <w:pStyle w:val="Heading2"/>
        <w:keepNext/>
      </w:pPr>
      <w:r>
        <w:t>3.7 Boundary conditions</w:t>
      </w:r>
    </w:p>
    <w:p>
      <w:pPr>
        <w:pStyle w:val="Heading3"/>
        <w:keepNext/>
      </w:pPr>
      <w:r>
        <w:t>3.7.1 Cold start and readiness</w:t>
      </w:r>
    </w:p>
    <w:p>
      <w:pPr>
        <w:widowControl/>
        <w:spacing w:after="60"/>
        <w:ind w:left="346" w:hanging="288"/>
      </w:pPr>
      <w:r>
        <w:rPr>
          <w:rFonts w:ascii="Calibri" w:hAnsi="Calibri"/>
          <w:b/>
          <w:i w:val="0"/>
          <w:color w:val="111827"/>
          <w:sz w:val="20"/>
        </w:rPr>
        <w:t xml:space="preserve">1. </w:t>
      </w:r>
      <w:r>
        <w:rPr>
          <w:rFonts w:ascii="Calibri" w:hAnsi="Calibri"/>
          <w:b w:val="0"/>
          <w:i w:val="0"/>
          <w:color w:val="111827"/>
          <w:sz w:val="20"/>
        </w:rPr>
        <w:t>Host zamanı, disk alanı, secrets ve network allow-list doğrulanır; container imaj digestleri beklenen sürümle eşleşir.</w:t>
      </w:r>
    </w:p>
    <w:p>
      <w:pPr>
        <w:widowControl/>
        <w:spacing w:after="60"/>
        <w:ind w:left="346" w:hanging="288"/>
      </w:pPr>
      <w:r>
        <w:rPr>
          <w:rFonts w:ascii="Calibri" w:hAnsi="Calibri"/>
          <w:b/>
          <w:i w:val="0"/>
          <w:color w:val="111827"/>
          <w:sz w:val="20"/>
        </w:rPr>
        <w:t xml:space="preserve">2. </w:t>
      </w:r>
      <w:r>
        <w:rPr>
          <w:rFonts w:ascii="Calibri" w:hAnsi="Calibri"/>
          <w:b w:val="0"/>
          <w:i w:val="0"/>
          <w:color w:val="111827"/>
          <w:sz w:val="20"/>
        </w:rPr>
        <w:t>PostgreSQL erişimi açılır, migration sürümü kontrol edilir ve gerekli PostGIS extension doğrulanır. Migration başarısızsa API ready olmaz.</w:t>
      </w:r>
    </w:p>
    <w:p>
      <w:pPr>
        <w:widowControl/>
        <w:spacing w:after="60"/>
        <w:ind w:left="346" w:hanging="288"/>
      </w:pPr>
      <w:r>
        <w:rPr>
          <w:rFonts w:ascii="Calibri" w:hAnsi="Calibri"/>
          <w:b/>
          <w:i w:val="0"/>
          <w:color w:val="111827"/>
          <w:sz w:val="20"/>
        </w:rPr>
        <w:t xml:space="preserve">3. </w:t>
      </w:r>
      <w:r>
        <w:rPr>
          <w:rFonts w:ascii="Calibri" w:hAnsi="Calibri"/>
          <w:b w:val="0"/>
          <w:i w:val="0"/>
          <w:color w:val="111827"/>
          <w:sz w:val="20"/>
        </w:rPr>
        <w:t>Object storage bucket/prefix, encryption ve read/write probe; Redis bağlantısı ve queue isimleri kontrol edilir.</w:t>
      </w:r>
    </w:p>
    <w:p>
      <w:pPr>
        <w:widowControl/>
        <w:spacing w:after="60"/>
        <w:ind w:left="346" w:hanging="288"/>
      </w:pPr>
      <w:r>
        <w:rPr>
          <w:rFonts w:ascii="Calibri" w:hAnsi="Calibri"/>
          <w:b/>
          <w:i w:val="0"/>
          <w:color w:val="111827"/>
          <w:sz w:val="20"/>
        </w:rPr>
        <w:t xml:space="preserve">4. </w:t>
      </w:r>
      <w:r>
        <w:rPr>
          <w:rFonts w:ascii="Calibri" w:hAnsi="Calibri"/>
          <w:b w:val="0"/>
          <w:i w:val="0"/>
          <w:color w:val="111827"/>
          <w:sz w:val="20"/>
        </w:rPr>
        <w:t>Host/kampüs erişim kapısı ile capability doğrulama anahtarı/politika sürümü yüklenir. Doğrulama yapılamıyorsa yalnız health endpoint açılır; anonim uygulama erişimi açılmaz.</w:t>
      </w:r>
    </w:p>
    <w:p>
      <w:pPr>
        <w:widowControl/>
        <w:spacing w:after="60"/>
        <w:ind w:left="346" w:hanging="288"/>
      </w:pPr>
      <w:r>
        <w:rPr>
          <w:rFonts w:ascii="Calibri" w:hAnsi="Calibri"/>
          <w:b/>
          <w:i w:val="0"/>
          <w:color w:val="111827"/>
          <w:sz w:val="20"/>
        </w:rPr>
        <w:t xml:space="preserve">5. </w:t>
      </w:r>
      <w:r>
        <w:rPr>
          <w:rFonts w:ascii="Calibri" w:hAnsi="Calibri"/>
          <w:b w:val="0"/>
          <w:i w:val="0"/>
          <w:color w:val="111827"/>
          <w:sz w:val="20"/>
        </w:rPr>
        <w:t>Production ModelVersion kayıtlarının artifact checksumları ve runtime compatibility bilgisi kontrol edilir. Eksik model ilgili mevsim joblarını devre dışı bırakır.</w:t>
      </w:r>
    </w:p>
    <w:p>
      <w:pPr>
        <w:widowControl/>
        <w:spacing w:after="60"/>
        <w:ind w:left="346" w:hanging="288"/>
      </w:pPr>
      <w:r>
        <w:rPr>
          <w:rFonts w:ascii="Calibri" w:hAnsi="Calibri"/>
          <w:b/>
          <w:i w:val="0"/>
          <w:color w:val="111827"/>
          <w:sz w:val="20"/>
        </w:rPr>
        <w:t xml:space="preserve">6. </w:t>
      </w:r>
      <w:r>
        <w:rPr>
          <w:rFonts w:ascii="Calibri" w:hAnsi="Calibri"/>
          <w:b w:val="0"/>
          <w:i w:val="0"/>
          <w:color w:val="111827"/>
          <w:sz w:val="20"/>
        </w:rPr>
        <w:t>Reconciler, önceki çalışmadan QUEUED/RUNNING kalmış işlerin lease ve checkpoint durumunu inceler; güvenli olanları yeniden kuyruğa alır.</w:t>
      </w:r>
    </w:p>
    <w:p>
      <w:pPr>
        <w:widowControl/>
        <w:spacing w:after="60"/>
        <w:ind w:left="346" w:hanging="288"/>
      </w:pPr>
      <w:r>
        <w:rPr>
          <w:rFonts w:ascii="Calibri" w:hAnsi="Calibri"/>
          <w:b/>
          <w:i w:val="0"/>
          <w:color w:val="111827"/>
          <w:sz w:val="20"/>
        </w:rPr>
        <w:t xml:space="preserve">7. </w:t>
      </w:r>
      <w:r>
        <w:rPr>
          <w:rFonts w:ascii="Calibri" w:hAnsi="Calibri"/>
          <w:b w:val="0"/>
          <w:i w:val="0"/>
          <w:color w:val="111827"/>
          <w:sz w:val="20"/>
        </w:rPr>
        <w:t>Tüm zorunlu kontroller geçince readiness true olur; liveness yalnız process yaşamını, readiness hizmet verme güvenini gösterir.</w:t>
      </w:r>
    </w:p>
    <w:p>
      <w:pPr>
        <w:pStyle w:val="Heading3"/>
        <w:keepNext/>
      </w:pPr>
      <w:r>
        <w:t>3.7.2 Graceful shutdown and maintenance</w:t>
      </w:r>
    </w:p>
    <w:p>
      <w:pPr>
        <w:widowControl/>
        <w:jc w:val="both"/>
      </w:pPr>
      <w:r>
        <w:rPr>
          <w:rFonts w:ascii="Calibri" w:hAnsi="Calibri"/>
          <w:b w:val="0"/>
          <w:i w:val="0"/>
          <w:color w:val="111827"/>
          <w:sz w:val="20"/>
        </w:rPr>
        <w:t>Shutdown sinyali alındığında reverse proxy yeni uzun iş kabulünü kapatır, API mevcut kısa istekleri tamamlar ve worker prefetch'i durdurur. Worker devam eden adımı belirlenen drain süresinde checkpoint'e taşır; tamamlayamazsa lease bırakılır ve işlem yeniden kuyruğa uygun duruma döner. Geçici dosyalar ya atomik publish edilir ya da temp olarak kalıp cleaner tarafından silinir. Veritabanı bağlantıları kapanmadan son heartbeat ve state transition commit edilir. Bakım modu salt okunur sonuç erişimini mümkün olduğunca açık tutar.</w:t>
      </w:r>
    </w:p>
    <w:p>
      <w:pPr>
        <w:pStyle w:val="Heading3"/>
        <w:keepNext/>
      </w:pPr>
      <w:r>
        <w:t>3.7.3 Failure and edge-case behavior</w:t>
      </w:r>
    </w:p>
    <w:tbl>
      <w:tblPr>
        <w:tblStyle w:val="TableGrid"/>
        <w:jc w:val="left"/>
        <w:tblLook w:firstColumn="1" w:firstRow="1" w:lastColumn="0" w:lastRow="0" w:noHBand="0" w:noVBand="1" w:val="04A0"/>
        <w:tblW w:w="9475" w:type="dxa"/>
        <w:tblInd w:w="120" w:type="dxa"/>
        <w:tblLayout w:type="fixed"/>
      </w:tblPr>
      <w:tblGrid>
        <w:gridCol w:w="2044"/>
        <w:gridCol w:w="1800"/>
        <w:gridCol w:w="2880"/>
        <w:gridCol w:w="2750"/>
      </w:tblGrid>
      <w:tr>
        <w:trPr>
          <w:tblHeader w:val="true"/>
        </w:trPr>
        <w:tc>
          <w:tcPr>
            <w:tcW w:type="dxa" w:w="2044"/>
            <w:tcMar>
              <w:top w:w="72" w:type="dxa"/>
              <w:start w:w="110" w:type="dxa"/>
              <w:bottom w:w="72" w:type="dxa"/>
              <w:end w:w="110" w:type="dxa"/>
            </w:tcMar>
            <w:vAlign w:val="center"/>
            <w:shd w:fill="0C2854"/>
          </w:tcPr>
          <w:p>
            <w:pPr>
              <w:spacing w:after="0"/>
              <w:jc w:val="center"/>
            </w:pPr>
            <w:r>
              <w:rPr>
                <w:rFonts w:ascii="Calibri" w:hAnsi="Calibri"/>
                <w:b/>
                <w:i w:val="0"/>
                <w:color w:val="FFFFFF"/>
                <w:sz w:val="16"/>
              </w:rPr>
              <w:t>Sınır durumu</w:t>
            </w:r>
          </w:p>
        </w:tc>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6"/>
              </w:rPr>
              <w:t>Algılama</w:t>
            </w:r>
          </w:p>
        </w:tc>
        <w:tc>
          <w:tcPr>
            <w:tcW w:type="dxa" w:w="2880"/>
            <w:tcMar>
              <w:top w:w="72" w:type="dxa"/>
              <w:start w:w="110" w:type="dxa"/>
              <w:bottom w:w="72" w:type="dxa"/>
              <w:end w:w="110" w:type="dxa"/>
            </w:tcMar>
            <w:vAlign w:val="center"/>
            <w:shd w:fill="0C2854"/>
          </w:tcPr>
          <w:p>
            <w:pPr>
              <w:spacing w:after="0"/>
              <w:jc w:val="center"/>
            </w:pPr>
            <w:r>
              <w:rPr>
                <w:rFonts w:ascii="Calibri" w:hAnsi="Calibri"/>
                <w:b/>
                <w:i w:val="0"/>
                <w:color w:val="FFFFFF"/>
                <w:sz w:val="16"/>
              </w:rPr>
              <w:t>Davranış</w:t>
            </w:r>
          </w:p>
        </w:tc>
        <w:tc>
          <w:tcPr>
            <w:tcW w:type="dxa" w:w="2750"/>
            <w:tcMar>
              <w:top w:w="72" w:type="dxa"/>
              <w:start w:w="110" w:type="dxa"/>
              <w:bottom w:w="72" w:type="dxa"/>
              <w:end w:w="110" w:type="dxa"/>
            </w:tcMar>
            <w:vAlign w:val="center"/>
            <w:shd w:fill="0C2854"/>
          </w:tcPr>
          <w:p>
            <w:pPr>
              <w:spacing w:after="0"/>
              <w:jc w:val="center"/>
            </w:pPr>
            <w:r>
              <w:rPr>
                <w:rFonts w:ascii="Calibri" w:hAnsi="Calibri"/>
                <w:b/>
                <w:i w:val="0"/>
                <w:color w:val="FFFFFF"/>
                <w:sz w:val="16"/>
              </w:rPr>
              <w:t>Kurtarma / veri garantisi</w:t>
            </w:r>
          </w:p>
        </w:tc>
      </w:tr>
      <w:tr>
        <w:tc>
          <w:tcPr>
            <w:tcW w:type="dxa" w:w="2044"/>
          </w:tcPr>
          <w:p>
            <w:pPr>
              <w:spacing w:after="0"/>
              <w:jc w:val="left"/>
            </w:pPr>
            <w:r>
              <w:rPr>
                <w:rFonts w:ascii="Calibri" w:hAnsi="Calibri"/>
                <w:b/>
                <w:i w:val="0"/>
                <w:color w:val="111827"/>
                <w:sz w:val="16"/>
              </w:rPr>
              <w:t>Seçilen dönemde sahne yok</w:t>
            </w:r>
          </w:p>
        </w:tc>
        <w:tc>
          <w:tcPr>
            <w:tcW w:type="dxa" w:w="1800"/>
          </w:tcPr>
          <w:p>
            <w:pPr>
              <w:spacing w:after="0"/>
              <w:jc w:val="left"/>
            </w:pPr>
            <w:r>
              <w:rPr>
                <w:rFonts w:ascii="Calibri" w:hAnsi="Calibri"/>
                <w:b w:val="0"/>
                <w:i w:val="0"/>
                <w:color w:val="111827"/>
                <w:sz w:val="16"/>
              </w:rPr>
              <w:t>Provider manifest boş</w:t>
            </w:r>
          </w:p>
        </w:tc>
        <w:tc>
          <w:tcPr>
            <w:tcW w:type="dxa" w:w="2880"/>
          </w:tcPr>
          <w:p>
            <w:pPr>
              <w:spacing w:after="0"/>
              <w:jc w:val="left"/>
            </w:pPr>
            <w:r>
              <w:rPr>
                <w:rFonts w:ascii="Calibri" w:hAnsi="Calibri"/>
                <w:b w:val="0"/>
                <w:i w:val="0"/>
                <w:color w:val="111827"/>
                <w:sz w:val="16"/>
              </w:rPr>
              <w:t>Dönem MISSING; pipeline diğer dönemlere devam</w:t>
            </w:r>
          </w:p>
        </w:tc>
        <w:tc>
          <w:tcPr>
            <w:tcW w:type="dxa" w:w="2750"/>
          </w:tcPr>
          <w:p>
            <w:pPr>
              <w:spacing w:after="0"/>
              <w:jc w:val="left"/>
            </w:pPr>
            <w:r>
              <w:rPr>
                <w:rFonts w:ascii="Calibri" w:hAnsi="Calibri"/>
                <w:b w:val="0"/>
                <w:i w:val="0"/>
                <w:color w:val="111827"/>
                <w:sz w:val="16"/>
              </w:rPr>
              <w:t>Forecast quality maskesi kullanır; kesin değer üretmez</w:t>
            </w:r>
          </w:p>
        </w:tc>
      </w:tr>
      <w:tr>
        <w:tc>
          <w:tcPr>
            <w:tcW w:type="dxa" w:w="2044"/>
            <w:shd w:fill="F4F7FB"/>
          </w:tcPr>
          <w:p>
            <w:pPr>
              <w:spacing w:after="0"/>
              <w:jc w:val="left"/>
            </w:pPr>
            <w:r>
              <w:rPr>
                <w:rFonts w:ascii="Calibri" w:hAnsi="Calibri"/>
                <w:b/>
                <w:i w:val="0"/>
                <w:color w:val="111827"/>
                <w:sz w:val="16"/>
              </w:rPr>
              <w:t>Bulut sonrası usable pixel düşük</w:t>
            </w:r>
          </w:p>
        </w:tc>
        <w:tc>
          <w:tcPr>
            <w:tcW w:type="dxa" w:w="1800"/>
            <w:shd w:fill="F4F7FB"/>
          </w:tcPr>
          <w:p>
            <w:pPr>
              <w:spacing w:after="0"/>
              <w:jc w:val="left"/>
            </w:pPr>
            <w:r>
              <w:rPr>
                <w:rFonts w:ascii="Calibri" w:hAnsi="Calibri"/>
                <w:b w:val="0"/>
                <w:i w:val="0"/>
                <w:color w:val="111827"/>
                <w:sz w:val="16"/>
              </w:rPr>
              <w:t>Kalite eşiği</w:t>
            </w:r>
          </w:p>
        </w:tc>
        <w:tc>
          <w:tcPr>
            <w:tcW w:type="dxa" w:w="2880"/>
            <w:shd w:fill="F4F7FB"/>
          </w:tcPr>
          <w:p>
            <w:pPr>
              <w:spacing w:after="0"/>
              <w:jc w:val="left"/>
            </w:pPr>
            <w:r>
              <w:rPr>
                <w:rFonts w:ascii="Calibri" w:hAnsi="Calibri"/>
                <w:b w:val="0"/>
                <w:i w:val="0"/>
                <w:color w:val="111827"/>
                <w:sz w:val="16"/>
              </w:rPr>
              <w:t>LOW_CONFIDENCE kompozit; UI/rapor görünür</w:t>
            </w:r>
          </w:p>
        </w:tc>
        <w:tc>
          <w:tcPr>
            <w:tcW w:type="dxa" w:w="2750"/>
            <w:shd w:fill="F4F7FB"/>
          </w:tcPr>
          <w:p>
            <w:pPr>
              <w:spacing w:after="0"/>
              <w:jc w:val="left"/>
            </w:pPr>
            <w:r>
              <w:rPr>
                <w:rFonts w:ascii="Calibri" w:hAnsi="Calibri"/>
                <w:b w:val="0"/>
                <w:i w:val="0"/>
                <w:color w:val="111827"/>
                <w:sz w:val="16"/>
              </w:rPr>
              <w:t>Alternatif kompozit pencere politikası veya hariç tutma</w:t>
            </w:r>
          </w:p>
        </w:tc>
      </w:tr>
      <w:tr>
        <w:tc>
          <w:tcPr>
            <w:tcW w:type="dxa" w:w="2044"/>
          </w:tcPr>
          <w:p>
            <w:pPr>
              <w:spacing w:after="0"/>
              <w:jc w:val="left"/>
            </w:pPr>
            <w:r>
              <w:rPr>
                <w:rFonts w:ascii="Calibri" w:hAnsi="Calibri"/>
                <w:b/>
                <w:i w:val="0"/>
                <w:color w:val="111827"/>
                <w:sz w:val="16"/>
              </w:rPr>
              <w:t>CRS/çözünürlük uyuşmaz</w:t>
            </w:r>
          </w:p>
        </w:tc>
        <w:tc>
          <w:tcPr>
            <w:tcW w:type="dxa" w:w="1800"/>
          </w:tcPr>
          <w:p>
            <w:pPr>
              <w:spacing w:after="0"/>
              <w:jc w:val="left"/>
            </w:pPr>
            <w:r>
              <w:rPr>
                <w:rFonts w:ascii="Calibri" w:hAnsi="Calibri"/>
                <w:b w:val="0"/>
                <w:i w:val="0"/>
                <w:color w:val="111827"/>
                <w:sz w:val="16"/>
              </w:rPr>
              <w:t>Preprocessing validation</w:t>
            </w:r>
          </w:p>
        </w:tc>
        <w:tc>
          <w:tcPr>
            <w:tcW w:type="dxa" w:w="2880"/>
          </w:tcPr>
          <w:p>
            <w:pPr>
              <w:spacing w:after="0"/>
              <w:jc w:val="left"/>
            </w:pPr>
            <w:r>
              <w:rPr>
                <w:rFonts w:ascii="Calibri" w:hAnsi="Calibri"/>
                <w:b w:val="0"/>
                <w:i w:val="0"/>
                <w:color w:val="111827"/>
                <w:sz w:val="16"/>
              </w:rPr>
              <w:t>Downstream bloke; örtük/sürümü kayıtsız dönüşüm yok</w:t>
            </w:r>
          </w:p>
        </w:tc>
        <w:tc>
          <w:tcPr>
            <w:tcW w:type="dxa" w:w="2750"/>
          </w:tcPr>
          <w:p>
            <w:pPr>
              <w:spacing w:after="0"/>
              <w:jc w:val="left"/>
            </w:pPr>
            <w:r>
              <w:rPr>
                <w:rFonts w:ascii="Calibri" w:hAnsi="Calibri"/>
                <w:b w:val="0"/>
                <w:i w:val="0"/>
                <w:color w:val="111827"/>
                <w:sz w:val="16"/>
              </w:rPr>
              <w:t>Onaylı eş-alan target CRS/grid ile deterministik dönüşüm; metadata ve golden area testi</w:t>
            </w:r>
          </w:p>
        </w:tc>
      </w:tr>
      <w:tr>
        <w:tc>
          <w:tcPr>
            <w:tcW w:type="dxa" w:w="2044"/>
            <w:shd w:fill="F4F7FB"/>
          </w:tcPr>
          <w:p>
            <w:pPr>
              <w:spacing w:after="0"/>
              <w:jc w:val="left"/>
            </w:pPr>
            <w:r>
              <w:rPr>
                <w:rFonts w:ascii="Calibri" w:hAnsi="Calibri"/>
                <w:b/>
                <w:i w:val="0"/>
                <w:color w:val="111827"/>
                <w:sz w:val="16"/>
              </w:rPr>
              <w:t>Nodata/sınıf dışı etiket</w:t>
            </w:r>
          </w:p>
        </w:tc>
        <w:tc>
          <w:tcPr>
            <w:tcW w:type="dxa" w:w="1800"/>
            <w:shd w:fill="F4F7FB"/>
          </w:tcPr>
          <w:p>
            <w:pPr>
              <w:spacing w:after="0"/>
              <w:jc w:val="left"/>
            </w:pPr>
            <w:r>
              <w:rPr>
                <w:rFonts w:ascii="Calibri" w:hAnsi="Calibri"/>
                <w:b w:val="0"/>
                <w:i w:val="0"/>
                <w:color w:val="111827"/>
                <w:sz w:val="16"/>
              </w:rPr>
              <w:t>Range ve oran kontrolü</w:t>
            </w:r>
          </w:p>
        </w:tc>
        <w:tc>
          <w:tcPr>
            <w:tcW w:type="dxa" w:w="2880"/>
            <w:shd w:fill="F4F7FB"/>
          </w:tcPr>
          <w:p>
            <w:pPr>
              <w:spacing w:after="0"/>
              <w:jc w:val="left"/>
            </w:pPr>
            <w:r>
              <w:rPr>
                <w:rFonts w:ascii="Calibri" w:hAnsi="Calibri"/>
                <w:b w:val="0"/>
                <w:i w:val="0"/>
                <w:color w:val="111827"/>
                <w:sz w:val="16"/>
              </w:rPr>
              <w:t>No Data ignore; sınıf dışı veri quarantine</w:t>
            </w:r>
          </w:p>
        </w:tc>
        <w:tc>
          <w:tcPr>
            <w:tcW w:type="dxa" w:w="2750"/>
            <w:shd w:fill="F4F7FB"/>
          </w:tcPr>
          <w:p>
            <w:pPr>
              <w:spacing w:after="0"/>
              <w:jc w:val="left"/>
            </w:pPr>
            <w:r>
              <w:rPr>
                <w:rFonts w:ascii="Calibri" w:hAnsi="Calibri"/>
                <w:b w:val="0"/>
                <w:i w:val="0"/>
                <w:color w:val="111827"/>
                <w:sz w:val="16"/>
              </w:rPr>
              <w:t>Kaynak düzeltme veya iş fail</w:t>
            </w:r>
          </w:p>
        </w:tc>
      </w:tr>
      <w:tr>
        <w:tc>
          <w:tcPr>
            <w:tcW w:type="dxa" w:w="2044"/>
          </w:tcPr>
          <w:p>
            <w:pPr>
              <w:spacing w:after="0"/>
              <w:jc w:val="left"/>
            </w:pPr>
            <w:r>
              <w:rPr>
                <w:rFonts w:ascii="Calibri" w:hAnsi="Calibri"/>
                <w:b/>
                <w:i w:val="0"/>
                <w:color w:val="111827"/>
                <w:sz w:val="16"/>
              </w:rPr>
              <w:t>Model artifact eksik/bozuk</w:t>
            </w:r>
          </w:p>
        </w:tc>
        <w:tc>
          <w:tcPr>
            <w:tcW w:type="dxa" w:w="1800"/>
          </w:tcPr>
          <w:p>
            <w:pPr>
              <w:spacing w:after="0"/>
              <w:jc w:val="left"/>
            </w:pPr>
            <w:r>
              <w:rPr>
                <w:rFonts w:ascii="Calibri" w:hAnsi="Calibri"/>
                <w:b w:val="0"/>
                <w:i w:val="0"/>
                <w:color w:val="111827"/>
                <w:sz w:val="16"/>
              </w:rPr>
              <w:t>Checksum/runtime check</w:t>
            </w:r>
          </w:p>
        </w:tc>
        <w:tc>
          <w:tcPr>
            <w:tcW w:type="dxa" w:w="2880"/>
          </w:tcPr>
          <w:p>
            <w:pPr>
              <w:spacing w:after="0"/>
              <w:jc w:val="left"/>
            </w:pPr>
            <w:r>
              <w:rPr>
                <w:rFonts w:ascii="Calibri" w:hAnsi="Calibri"/>
                <w:b w:val="0"/>
                <w:i w:val="0"/>
                <w:color w:val="111827"/>
                <w:sz w:val="16"/>
              </w:rPr>
              <w:t>Inference başlamaz</w:t>
            </w:r>
          </w:p>
        </w:tc>
        <w:tc>
          <w:tcPr>
            <w:tcW w:type="dxa" w:w="2750"/>
          </w:tcPr>
          <w:p>
            <w:pPr>
              <w:spacing w:after="0"/>
              <w:jc w:val="left"/>
            </w:pPr>
            <w:r>
              <w:rPr>
                <w:rFonts w:ascii="Calibri" w:hAnsi="Calibri"/>
                <w:b w:val="0"/>
                <w:i w:val="0"/>
                <w:color w:val="111827"/>
                <w:sz w:val="16"/>
              </w:rPr>
              <w:t>Validated önceki sürüm veya yeniden yükleme</w:t>
            </w:r>
          </w:p>
        </w:tc>
      </w:tr>
      <w:tr>
        <w:tc>
          <w:tcPr>
            <w:tcW w:type="dxa" w:w="2044"/>
            <w:shd w:fill="F4F7FB"/>
          </w:tcPr>
          <w:p>
            <w:pPr>
              <w:spacing w:after="0"/>
              <w:jc w:val="left"/>
            </w:pPr>
            <w:r>
              <w:rPr>
                <w:rFonts w:ascii="Calibri" w:hAnsi="Calibri"/>
                <w:b/>
                <w:i w:val="0"/>
                <w:color w:val="111827"/>
                <w:sz w:val="16"/>
              </w:rPr>
              <w:t>Zaman serisi çok kısa / LSTM çalışmıyor</w:t>
            </w:r>
          </w:p>
        </w:tc>
        <w:tc>
          <w:tcPr>
            <w:tcW w:type="dxa" w:w="1800"/>
            <w:shd w:fill="F4F7FB"/>
          </w:tcPr>
          <w:p>
            <w:pPr>
              <w:spacing w:after="0"/>
              <w:jc w:val="left"/>
            </w:pPr>
            <w:r>
              <w:rPr>
                <w:rFonts w:ascii="Calibri" w:hAnsi="Calibri"/>
                <w:b w:val="0"/>
                <w:i w:val="0"/>
                <w:color w:val="111827"/>
                <w:sz w:val="16"/>
              </w:rPr>
              <w:t>Minimum window ve training check</w:t>
            </w:r>
          </w:p>
        </w:tc>
        <w:tc>
          <w:tcPr>
            <w:tcW w:type="dxa" w:w="2880"/>
            <w:shd w:fill="F4F7FB"/>
          </w:tcPr>
          <w:p>
            <w:pPr>
              <w:spacing w:after="0"/>
              <w:jc w:val="left"/>
            </w:pPr>
            <w:r>
              <w:rPr>
                <w:rFonts w:ascii="Calibri" w:hAnsi="Calibri"/>
                <w:b w:val="0"/>
                <w:i w:val="0"/>
                <w:color w:val="111827"/>
                <w:sz w:val="16"/>
              </w:rPr>
              <w:t>INSUFFICIENT_SERIES/FAILED; yalnız tanısal baseline taslağı</w:t>
            </w:r>
          </w:p>
        </w:tc>
        <w:tc>
          <w:tcPr>
            <w:tcW w:type="dxa" w:w="2750"/>
            <w:shd w:fill="F4F7FB"/>
          </w:tcPr>
          <w:p>
            <w:pPr>
              <w:spacing w:after="0"/>
              <w:jc w:val="left"/>
            </w:pPr>
            <w:r>
              <w:rPr>
                <w:rFonts w:ascii="Calibri" w:hAnsi="Calibri"/>
                <w:b w:val="0"/>
                <w:i w:val="0"/>
                <w:color w:val="111827"/>
                <w:sz w:val="16"/>
              </w:rPr>
              <w:t>Ana yayın yok; veri/model politikası düzeltilip yeni run</w:t>
            </w:r>
          </w:p>
        </w:tc>
      </w:tr>
      <w:tr>
        <w:tc>
          <w:tcPr>
            <w:tcW w:type="dxa" w:w="2044"/>
          </w:tcPr>
          <w:p>
            <w:pPr>
              <w:spacing w:after="0"/>
              <w:jc w:val="left"/>
            </w:pPr>
            <w:r>
              <w:rPr>
                <w:rFonts w:ascii="Calibri" w:hAnsi="Calibri"/>
                <w:b/>
                <w:i w:val="0"/>
                <w:color w:val="111827"/>
                <w:sz w:val="16"/>
              </w:rPr>
              <w:t>GHSL/GISD30 ana seriye bağlandı</w:t>
            </w:r>
          </w:p>
        </w:tc>
        <w:tc>
          <w:tcPr>
            <w:tcW w:type="dxa" w:w="1800"/>
          </w:tcPr>
          <w:p>
            <w:pPr>
              <w:spacing w:after="0"/>
              <w:jc w:val="left"/>
            </w:pPr>
            <w:r>
              <w:rPr>
                <w:rFonts w:ascii="Calibri" w:hAnsi="Calibri"/>
                <w:b w:val="0"/>
                <w:i w:val="0"/>
                <w:color w:val="111827"/>
                <w:sz w:val="16"/>
              </w:rPr>
              <w:t>Artifact type/namespace ve schema validation</w:t>
            </w:r>
          </w:p>
        </w:tc>
        <w:tc>
          <w:tcPr>
            <w:tcW w:type="dxa" w:w="2880"/>
          </w:tcPr>
          <w:p>
            <w:pPr>
              <w:spacing w:after="0"/>
              <w:jc w:val="left"/>
            </w:pPr>
            <w:r>
              <w:rPr>
                <w:rFonts w:ascii="Calibri" w:hAnsi="Calibri"/>
                <w:b w:val="0"/>
                <w:i w:val="0"/>
                <w:color w:val="111827"/>
                <w:sz w:val="16"/>
              </w:rPr>
              <w:t>İş fail; concatenate/recalibration reddedilir</w:t>
            </w:r>
          </w:p>
        </w:tc>
        <w:tc>
          <w:tcPr>
            <w:tcW w:type="dxa" w:w="2750"/>
          </w:tcPr>
          <w:p>
            <w:pPr>
              <w:spacing w:after="0"/>
              <w:jc w:val="left"/>
            </w:pPr>
            <w:r>
              <w:rPr>
                <w:rFonts w:ascii="Calibri" w:hAnsi="Calibri"/>
                <w:b w:val="0"/>
                <w:i w:val="0"/>
                <w:color w:val="111827"/>
                <w:sz w:val="16"/>
              </w:rPr>
              <w:t>Ayrı ComparisonRun oluştur; primary sonuç değişmez</w:t>
            </w:r>
          </w:p>
        </w:tc>
      </w:tr>
      <w:tr>
        <w:tc>
          <w:tcPr>
            <w:tcW w:type="dxa" w:w="2044"/>
            <w:shd w:fill="F4F7FB"/>
          </w:tcPr>
          <w:p>
            <w:pPr>
              <w:spacing w:after="0"/>
              <w:jc w:val="left"/>
            </w:pPr>
            <w:r>
              <w:rPr>
                <w:rFonts w:ascii="Calibri" w:hAnsi="Calibri"/>
                <w:b/>
                <w:i w:val="0"/>
                <w:color w:val="111827"/>
                <w:sz w:val="16"/>
              </w:rPr>
              <w:t>DB failover/kesinti</w:t>
            </w:r>
          </w:p>
        </w:tc>
        <w:tc>
          <w:tcPr>
            <w:tcW w:type="dxa" w:w="1800"/>
            <w:shd w:fill="F4F7FB"/>
          </w:tcPr>
          <w:p>
            <w:pPr>
              <w:spacing w:after="0"/>
              <w:jc w:val="left"/>
            </w:pPr>
            <w:r>
              <w:rPr>
                <w:rFonts w:ascii="Calibri" w:hAnsi="Calibri"/>
                <w:b w:val="0"/>
                <w:i w:val="0"/>
                <w:color w:val="111827"/>
                <w:sz w:val="16"/>
              </w:rPr>
              <w:t>Connection health</w:t>
            </w:r>
          </w:p>
        </w:tc>
        <w:tc>
          <w:tcPr>
            <w:tcW w:type="dxa" w:w="2880"/>
            <w:shd w:fill="F4F7FB"/>
          </w:tcPr>
          <w:p>
            <w:pPr>
              <w:spacing w:after="0"/>
              <w:jc w:val="left"/>
            </w:pPr>
            <w:r>
              <w:rPr>
                <w:rFonts w:ascii="Calibri" w:hAnsi="Calibri"/>
                <w:b w:val="0"/>
                <w:i w:val="0"/>
                <w:color w:val="111827"/>
                <w:sz w:val="16"/>
              </w:rPr>
              <w:t>Yeni state kabul edilmez; worker checkpoint'te durur</w:t>
            </w:r>
          </w:p>
        </w:tc>
        <w:tc>
          <w:tcPr>
            <w:tcW w:type="dxa" w:w="2750"/>
            <w:shd w:fill="F4F7FB"/>
          </w:tcPr>
          <w:p>
            <w:pPr>
              <w:spacing w:after="0"/>
              <w:jc w:val="left"/>
            </w:pPr>
            <w:r>
              <w:rPr>
                <w:rFonts w:ascii="Calibri" w:hAnsi="Calibri"/>
                <w:b w:val="0"/>
                <w:i w:val="0"/>
                <w:color w:val="111827"/>
                <w:sz w:val="16"/>
              </w:rPr>
              <w:t>Restore/reconnect sonrası reconcile</w:t>
            </w:r>
          </w:p>
        </w:tc>
      </w:tr>
      <w:tr>
        <w:tc>
          <w:tcPr>
            <w:tcW w:type="dxa" w:w="2044"/>
          </w:tcPr>
          <w:p>
            <w:pPr>
              <w:spacing w:after="0"/>
              <w:jc w:val="left"/>
            </w:pPr>
            <w:r>
              <w:rPr>
                <w:rFonts w:ascii="Calibri" w:hAnsi="Calibri"/>
                <w:b/>
                <w:i w:val="0"/>
                <w:color w:val="111827"/>
                <w:sz w:val="16"/>
              </w:rPr>
              <w:t>Redis kaybı</w:t>
            </w:r>
          </w:p>
        </w:tc>
        <w:tc>
          <w:tcPr>
            <w:tcW w:type="dxa" w:w="1800"/>
          </w:tcPr>
          <w:p>
            <w:pPr>
              <w:spacing w:after="0"/>
              <w:jc w:val="left"/>
            </w:pPr>
            <w:r>
              <w:rPr>
                <w:rFonts w:ascii="Calibri" w:hAnsi="Calibri"/>
                <w:b w:val="0"/>
                <w:i w:val="0"/>
                <w:color w:val="111827"/>
                <w:sz w:val="16"/>
              </w:rPr>
              <w:t>Queue health + DB mismatch</w:t>
            </w:r>
          </w:p>
        </w:tc>
        <w:tc>
          <w:tcPr>
            <w:tcW w:type="dxa" w:w="2880"/>
          </w:tcPr>
          <w:p>
            <w:pPr>
              <w:spacing w:after="0"/>
              <w:jc w:val="left"/>
            </w:pPr>
            <w:r>
              <w:rPr>
                <w:rFonts w:ascii="Calibri" w:hAnsi="Calibri"/>
                <w:b w:val="0"/>
                <w:i w:val="0"/>
                <w:color w:val="111827"/>
                <w:sz w:val="16"/>
              </w:rPr>
              <w:t>API iş kaydı korur; dispatch pause</w:t>
            </w:r>
          </w:p>
        </w:tc>
        <w:tc>
          <w:tcPr>
            <w:tcW w:type="dxa" w:w="2750"/>
          </w:tcPr>
          <w:p>
            <w:pPr>
              <w:spacing w:after="0"/>
              <w:jc w:val="left"/>
            </w:pPr>
            <w:r>
              <w:rPr>
                <w:rFonts w:ascii="Calibri" w:hAnsi="Calibri"/>
                <w:b w:val="0"/>
                <w:i w:val="0"/>
                <w:color w:val="111827"/>
                <w:sz w:val="16"/>
              </w:rPr>
              <w:t>Redis yeniden kurulur, DB queued işleri re-enqueue</w:t>
            </w:r>
          </w:p>
        </w:tc>
      </w:tr>
      <w:tr>
        <w:tc>
          <w:tcPr>
            <w:tcW w:type="dxa" w:w="2044"/>
            <w:shd w:fill="F4F7FB"/>
          </w:tcPr>
          <w:p>
            <w:pPr>
              <w:spacing w:after="0"/>
              <w:jc w:val="left"/>
            </w:pPr>
            <w:r>
              <w:rPr>
                <w:rFonts w:ascii="Calibri" w:hAnsi="Calibri"/>
                <w:b/>
                <w:i w:val="0"/>
                <w:color w:val="111827"/>
                <w:sz w:val="16"/>
              </w:rPr>
              <w:t>Object storage dolu</w:t>
            </w:r>
          </w:p>
        </w:tc>
        <w:tc>
          <w:tcPr>
            <w:tcW w:type="dxa" w:w="1800"/>
            <w:shd w:fill="F4F7FB"/>
          </w:tcPr>
          <w:p>
            <w:pPr>
              <w:spacing w:after="0"/>
              <w:jc w:val="left"/>
            </w:pPr>
            <w:r>
              <w:rPr>
                <w:rFonts w:ascii="Calibri" w:hAnsi="Calibri"/>
                <w:b w:val="0"/>
                <w:i w:val="0"/>
                <w:color w:val="111827"/>
                <w:sz w:val="16"/>
              </w:rPr>
              <w:t>Capacity alarm/write failure</w:t>
            </w:r>
          </w:p>
        </w:tc>
        <w:tc>
          <w:tcPr>
            <w:tcW w:type="dxa" w:w="2880"/>
            <w:shd w:fill="F4F7FB"/>
          </w:tcPr>
          <w:p>
            <w:pPr>
              <w:spacing w:after="0"/>
              <w:jc w:val="left"/>
            </w:pPr>
            <w:r>
              <w:rPr>
                <w:rFonts w:ascii="Calibri" w:hAnsi="Calibri"/>
                <w:b w:val="0"/>
                <w:i w:val="0"/>
                <w:color w:val="111827"/>
                <w:sz w:val="16"/>
              </w:rPr>
              <w:t>Yeni artifact publish yok; temp cleanup</w:t>
            </w:r>
          </w:p>
        </w:tc>
        <w:tc>
          <w:tcPr>
            <w:tcW w:type="dxa" w:w="2750"/>
            <w:shd w:fill="F4F7FB"/>
          </w:tcPr>
          <w:p>
            <w:pPr>
              <w:spacing w:after="0"/>
              <w:jc w:val="left"/>
            </w:pPr>
            <w:r>
              <w:rPr>
                <w:rFonts w:ascii="Calibri" w:hAnsi="Calibri"/>
                <w:b w:val="0"/>
                <w:i w:val="0"/>
                <w:color w:val="111827"/>
                <w:sz w:val="16"/>
              </w:rPr>
              <w:t>Alan aç, backup/retention doğrula, job retry</w:t>
            </w:r>
          </w:p>
        </w:tc>
      </w:tr>
      <w:tr>
        <w:tc>
          <w:tcPr>
            <w:tcW w:type="dxa" w:w="2044"/>
          </w:tcPr>
          <w:p>
            <w:pPr>
              <w:spacing w:after="0"/>
              <w:jc w:val="left"/>
            </w:pPr>
            <w:r>
              <w:rPr>
                <w:rFonts w:ascii="Calibri" w:hAnsi="Calibri"/>
                <w:b/>
                <w:i w:val="0"/>
                <w:color w:val="111827"/>
                <w:sz w:val="16"/>
              </w:rPr>
              <w:t>Güvenlik olayı</w:t>
            </w:r>
          </w:p>
        </w:tc>
        <w:tc>
          <w:tcPr>
            <w:tcW w:type="dxa" w:w="1800"/>
          </w:tcPr>
          <w:p>
            <w:pPr>
              <w:spacing w:after="0"/>
              <w:jc w:val="left"/>
            </w:pPr>
            <w:r>
              <w:rPr>
                <w:rFonts w:ascii="Calibri" w:hAnsi="Calibri"/>
                <w:b w:val="0"/>
                <w:i w:val="0"/>
                <w:color w:val="111827"/>
                <w:sz w:val="16"/>
              </w:rPr>
              <w:t>Anormal auth/export/audit</w:t>
            </w:r>
          </w:p>
        </w:tc>
        <w:tc>
          <w:tcPr>
            <w:tcW w:type="dxa" w:w="2880"/>
          </w:tcPr>
          <w:p>
            <w:pPr>
              <w:spacing w:after="0"/>
              <w:jc w:val="left"/>
            </w:pPr>
            <w:r>
              <w:rPr>
                <w:rFonts w:ascii="Calibri" w:hAnsi="Calibri"/>
                <w:b w:val="0"/>
                <w:i w:val="0"/>
                <w:color w:val="111827"/>
                <w:sz w:val="16"/>
              </w:rPr>
              <w:t>Oturum/anahtar iptali, export freeze</w:t>
            </w:r>
          </w:p>
        </w:tc>
        <w:tc>
          <w:tcPr>
            <w:tcW w:type="dxa" w:w="2750"/>
          </w:tcPr>
          <w:p>
            <w:pPr>
              <w:spacing w:after="0"/>
              <w:jc w:val="left"/>
            </w:pPr>
            <w:r>
              <w:rPr>
                <w:rFonts w:ascii="Calibri" w:hAnsi="Calibri"/>
                <w:b w:val="0"/>
                <w:i w:val="0"/>
                <w:color w:val="111827"/>
                <w:sz w:val="16"/>
              </w:rPr>
              <w:t>Incident kaydı, secret rotation, etki analizi</w:t>
            </w:r>
          </w:p>
        </w:tc>
      </w:tr>
    </w:tbl>
    <w:p>
      <w:pPr>
        <w:spacing w:after="20"/>
      </w:pPr>
    </w:p>
    <w:p>
      <w:pPr>
        <w:pStyle w:val="Heading3"/>
        <w:keepNext/>
      </w:pPr>
      <w:r>
        <w:t>3.7.4 Disaster recovery</w:t>
      </w:r>
    </w:p>
    <w:p>
      <w:pPr>
        <w:widowControl/>
        <w:jc w:val="both"/>
      </w:pPr>
      <w:r>
        <w:rPr>
          <w:rFonts w:ascii="Calibri" w:hAnsi="Calibri"/>
          <w:b w:val="0"/>
          <w:i w:val="0"/>
          <w:color w:val="111827"/>
          <w:sz w:val="20"/>
        </w:rPr>
        <w:t>Tam host kaybında önce güvenli yeni host ve secrets sağlanır; PostgreSQL son doğrulanmış backup/WAL zinciriyle geri getirilir; object storage manifesti yüklenir; artifact ve production model checksumları doğrulanır. Redis boş başlatılır. Reconciler DB'deki QUEUED/RUNNING kayıtlarını değerlendirir ve yalnız idempotent adımları yeniden kuyruğa alır. Teknik operatöre veri kesinti aralığı, restore zamanı ve etkilenmiş işler bildirilir. RPO/RTO sayıları kurumca henüz doğrulanmamış tasarım varsayımıdır; ilk restore tatbikatı gerçekçi hedefleri belirler.</w:t>
      </w:r>
    </w:p>
    <w:p>
      <w:pPr>
        <w:pStyle w:val="Heading1"/>
        <w:keepNext/>
      </w:pPr>
      <w:r>
        <w:t>4. Subsystem services</w:t>
      </w:r>
    </w:p>
    <w:p>
      <w:pPr>
        <w:widowControl/>
        <w:jc w:val="both"/>
      </w:pPr>
      <w:r>
        <w:rPr>
          <w:rFonts w:ascii="Calibri" w:hAnsi="Calibri"/>
          <w:b w:val="0"/>
          <w:i w:val="0"/>
          <w:color w:val="111827"/>
          <w:sz w:val="20"/>
        </w:rPr>
        <w:t>Bu bölüm alt sistemlerin sağladığı HLD servislerini tanımlar. Bunlar sınıf veya fonksiyon imzası değildir; LLD sırasında REST endpoint, queue command, event schema veya repository interface olarak somutlaştırılacak kararlı sözleşme sınırlarıdır. Servis adları gereksinim ve LLD izlenebilirliğinde aynı tutulmalıdır.</w:t>
      </w:r>
    </w:p>
    <w:tbl>
      <w:tblPr>
        <w:tblStyle w:val="TableGrid"/>
        <w:jc w:val="left"/>
        <w:tblLook w:firstColumn="1" w:firstRow="1" w:lastColumn="0" w:lastRow="0" w:noHBand="0" w:noVBand="1" w:val="04A0"/>
        <w:tblW w:w="10900" w:type="dxa"/>
        <w:tblInd w:w="120" w:type="dxa"/>
        <w:tblLayout w:type="fixed"/>
      </w:tblPr>
      <w:tblGrid>
        <w:gridCol w:w="691"/>
        <w:gridCol w:w="1612"/>
        <w:gridCol w:w="1512"/>
        <w:gridCol w:w="1368"/>
        <w:gridCol w:w="892"/>
        <w:gridCol w:w="1800"/>
        <w:gridCol w:w="1728"/>
        <w:gridCol w:w="1296"/>
      </w:tblGrid>
      <w:tr>
        <w:trPr>
          <w:tblHeader w:val="true"/>
        </w:trPr>
        <w:tc>
          <w:tcPr>
            <w:tcW w:type="dxa" w:w="691"/>
            <w:tcMar>
              <w:top w:w="72" w:type="dxa"/>
              <w:start w:w="110" w:type="dxa"/>
              <w:bottom w:w="72" w:type="dxa"/>
              <w:end w:w="110" w:type="dxa"/>
            </w:tcMar>
            <w:vAlign w:val="center"/>
            <w:shd w:fill="0C2854"/>
          </w:tcPr>
          <w:p>
            <w:pPr>
              <w:spacing w:after="0"/>
              <w:jc w:val="center"/>
            </w:pPr>
            <w:r>
              <w:rPr>
                <w:rFonts w:ascii="Calibri" w:hAnsi="Calibri"/>
                <w:b/>
                <w:i w:val="0"/>
                <w:color w:val="FFFFFF"/>
                <w:sz w:val="14"/>
              </w:rPr>
              <w:t>ID</w:t>
            </w:r>
          </w:p>
        </w:tc>
        <w:tc>
          <w:tcPr>
            <w:tcW w:type="dxa" w:w="1612"/>
            <w:tcMar>
              <w:top w:w="72" w:type="dxa"/>
              <w:start w:w="110" w:type="dxa"/>
              <w:bottom w:w="72" w:type="dxa"/>
              <w:end w:w="110" w:type="dxa"/>
            </w:tcMar>
            <w:vAlign w:val="center"/>
            <w:shd w:fill="0C2854"/>
          </w:tcPr>
          <w:p>
            <w:pPr>
              <w:spacing w:after="0"/>
              <w:jc w:val="center"/>
            </w:pPr>
            <w:r>
              <w:rPr>
                <w:rFonts w:ascii="Calibri" w:hAnsi="Calibri"/>
                <w:b/>
                <w:i w:val="0"/>
                <w:color w:val="FFFFFF"/>
                <w:sz w:val="14"/>
              </w:rPr>
              <w:t>Servis</w:t>
            </w:r>
          </w:p>
        </w:tc>
        <w:tc>
          <w:tcPr>
            <w:tcW w:type="dxa" w:w="1512"/>
            <w:tcMar>
              <w:top w:w="72" w:type="dxa"/>
              <w:start w:w="110" w:type="dxa"/>
              <w:bottom w:w="72" w:type="dxa"/>
              <w:end w:w="110" w:type="dxa"/>
            </w:tcMar>
            <w:vAlign w:val="center"/>
            <w:shd w:fill="0C2854"/>
          </w:tcPr>
          <w:p>
            <w:pPr>
              <w:spacing w:after="0"/>
              <w:jc w:val="center"/>
            </w:pPr>
            <w:r>
              <w:rPr>
                <w:rFonts w:ascii="Calibri" w:hAnsi="Calibri"/>
                <w:b/>
                <w:i w:val="0"/>
                <w:color w:val="FFFFFF"/>
                <w:sz w:val="14"/>
              </w:rPr>
              <w:t>Sağlayan</w:t>
            </w:r>
          </w:p>
        </w:tc>
        <w:tc>
          <w:tcPr>
            <w:tcW w:type="dxa" w:w="1368"/>
            <w:tcMar>
              <w:top w:w="72" w:type="dxa"/>
              <w:start w:w="110" w:type="dxa"/>
              <w:bottom w:w="72" w:type="dxa"/>
              <w:end w:w="110" w:type="dxa"/>
            </w:tcMar>
            <w:vAlign w:val="center"/>
            <w:shd w:fill="0C2854"/>
          </w:tcPr>
          <w:p>
            <w:pPr>
              <w:spacing w:after="0"/>
              <w:jc w:val="center"/>
            </w:pPr>
            <w:r>
              <w:rPr>
                <w:rFonts w:ascii="Calibri" w:hAnsi="Calibri"/>
                <w:b/>
                <w:i w:val="0"/>
                <w:color w:val="FFFFFF"/>
                <w:sz w:val="14"/>
              </w:rPr>
              <w:t>Tüketen</w:t>
            </w:r>
          </w:p>
        </w:tc>
        <w:tc>
          <w:tcPr>
            <w:tcW w:type="dxa" w:w="892"/>
            <w:tcMar>
              <w:top w:w="72" w:type="dxa"/>
              <w:start w:w="110" w:type="dxa"/>
              <w:bottom w:w="72" w:type="dxa"/>
              <w:end w:w="110" w:type="dxa"/>
            </w:tcMar>
            <w:vAlign w:val="center"/>
            <w:shd w:fill="0C2854"/>
          </w:tcPr>
          <w:p>
            <w:pPr>
              <w:spacing w:after="0"/>
              <w:jc w:val="center"/>
            </w:pPr>
            <w:r>
              <w:rPr>
                <w:rFonts w:ascii="Calibri" w:hAnsi="Calibri"/>
                <w:b/>
                <w:i w:val="0"/>
                <w:color w:val="FFFFFF"/>
                <w:sz w:val="14"/>
              </w:rPr>
              <w:t>Tip</w:t>
            </w:r>
          </w:p>
        </w:tc>
        <w:tc>
          <w:tcPr>
            <w:tcW w:type="dxa" w:w="1800"/>
            <w:tcMar>
              <w:top w:w="72" w:type="dxa"/>
              <w:start w:w="110" w:type="dxa"/>
              <w:bottom w:w="72" w:type="dxa"/>
              <w:end w:w="110" w:type="dxa"/>
            </w:tcMar>
            <w:vAlign w:val="center"/>
            <w:shd w:fill="0C2854"/>
          </w:tcPr>
          <w:p>
            <w:pPr>
              <w:spacing w:after="0"/>
              <w:jc w:val="center"/>
            </w:pPr>
            <w:r>
              <w:rPr>
                <w:rFonts w:ascii="Calibri" w:hAnsi="Calibri"/>
                <w:b/>
                <w:i w:val="0"/>
                <w:color w:val="FFFFFF"/>
                <w:sz w:val="14"/>
              </w:rPr>
              <w:t>Girdi</w:t>
            </w:r>
          </w:p>
        </w:tc>
        <w:tc>
          <w:tcPr>
            <w:tcW w:type="dxa" w:w="1728"/>
            <w:tcMar>
              <w:top w:w="72" w:type="dxa"/>
              <w:start w:w="110" w:type="dxa"/>
              <w:bottom w:w="72" w:type="dxa"/>
              <w:end w:w="110" w:type="dxa"/>
            </w:tcMar>
            <w:vAlign w:val="center"/>
            <w:shd w:fill="0C2854"/>
          </w:tcPr>
          <w:p>
            <w:pPr>
              <w:spacing w:after="0"/>
              <w:jc w:val="center"/>
            </w:pPr>
            <w:r>
              <w:rPr>
                <w:rFonts w:ascii="Calibri" w:hAnsi="Calibri"/>
                <w:b/>
                <w:i w:val="0"/>
                <w:color w:val="FFFFFF"/>
                <w:sz w:val="14"/>
              </w:rPr>
              <w:t>Çıktı</w:t>
            </w:r>
          </w:p>
        </w:tc>
        <w:tc>
          <w:tcPr>
            <w:tcW w:type="dxa" w:w="1296"/>
            <w:tcMar>
              <w:top w:w="72" w:type="dxa"/>
              <w:start w:w="110" w:type="dxa"/>
              <w:bottom w:w="72" w:type="dxa"/>
              <w:end w:w="110" w:type="dxa"/>
            </w:tcMar>
            <w:vAlign w:val="center"/>
            <w:shd w:fill="0C2854"/>
          </w:tcPr>
          <w:p>
            <w:pPr>
              <w:spacing w:after="0"/>
              <w:jc w:val="center"/>
            </w:pPr>
            <w:r>
              <w:rPr>
                <w:rFonts w:ascii="Calibri" w:hAnsi="Calibri"/>
                <w:b/>
                <w:i w:val="0"/>
                <w:color w:val="FFFFFF"/>
                <w:sz w:val="14"/>
              </w:rPr>
              <w:t>İz</w:t>
            </w:r>
          </w:p>
        </w:tc>
      </w:tr>
      <w:tr>
        <w:tc>
          <w:tcPr>
            <w:tcW w:type="dxa" w:w="691"/>
          </w:tcPr>
          <w:p>
            <w:pPr>
              <w:spacing w:after="0"/>
              <w:jc w:val="left"/>
            </w:pPr>
            <w:r>
              <w:rPr>
                <w:rFonts w:ascii="Calibri" w:hAnsi="Calibri"/>
                <w:b/>
                <w:i w:val="0"/>
                <w:color w:val="111827"/>
                <w:sz w:val="14"/>
              </w:rPr>
              <w:t>SVC-01</w:t>
            </w:r>
          </w:p>
        </w:tc>
        <w:tc>
          <w:tcPr>
            <w:tcW w:type="dxa" w:w="1612"/>
          </w:tcPr>
          <w:p>
            <w:pPr>
              <w:spacing w:after="0"/>
              <w:jc w:val="left"/>
            </w:pPr>
            <w:r>
              <w:rPr>
                <w:rFonts w:ascii="Calibri" w:hAnsi="Calibri"/>
                <w:b w:val="0"/>
                <w:i w:val="0"/>
                <w:color w:val="111827"/>
                <w:sz w:val="14"/>
              </w:rPr>
              <w:t>Project Management</w:t>
            </w:r>
          </w:p>
        </w:tc>
        <w:tc>
          <w:tcPr>
            <w:tcW w:type="dxa" w:w="1512"/>
          </w:tcPr>
          <w:p>
            <w:pPr>
              <w:spacing w:after="0"/>
              <w:jc w:val="left"/>
            </w:pPr>
            <w:r>
              <w:rPr>
                <w:rFonts w:ascii="Calibri" w:hAnsi="Calibri"/>
                <w:b w:val="0"/>
                <w:i w:val="0"/>
                <w:color w:val="111827"/>
                <w:sz w:val="14"/>
              </w:rPr>
              <w:t>UI/API</w:t>
            </w:r>
          </w:p>
        </w:tc>
        <w:tc>
          <w:tcPr>
            <w:tcW w:type="dxa" w:w="1368"/>
          </w:tcPr>
          <w:p>
            <w:pPr>
              <w:spacing w:after="0"/>
              <w:jc w:val="left"/>
            </w:pPr>
            <w:r>
              <w:rPr>
                <w:rFonts w:ascii="Calibri" w:hAnsi="Calibri"/>
                <w:b w:val="0"/>
                <w:i w:val="0"/>
                <w:color w:val="111827"/>
                <w:sz w:val="14"/>
              </w:rPr>
              <w:t>Operator, Persistence</w:t>
            </w:r>
          </w:p>
        </w:tc>
        <w:tc>
          <w:tcPr>
            <w:tcW w:type="dxa" w:w="892"/>
          </w:tcPr>
          <w:p>
            <w:pPr>
              <w:spacing w:after="0"/>
              <w:jc w:val="left"/>
            </w:pPr>
            <w:r>
              <w:rPr>
                <w:rFonts w:ascii="Calibri" w:hAnsi="Calibri"/>
                <w:b w:val="0"/>
                <w:i w:val="0"/>
                <w:color w:val="111827"/>
                <w:sz w:val="14"/>
              </w:rPr>
              <w:t>Sync</w:t>
            </w:r>
          </w:p>
        </w:tc>
        <w:tc>
          <w:tcPr>
            <w:tcW w:type="dxa" w:w="1800"/>
          </w:tcPr>
          <w:p>
            <w:pPr>
              <w:spacing w:after="0"/>
              <w:jc w:val="left"/>
            </w:pPr>
            <w:r>
              <w:rPr>
                <w:rFonts w:ascii="Calibri" w:hAnsi="Calibri"/>
                <w:b w:val="0"/>
                <w:i w:val="0"/>
                <w:color w:val="111827"/>
                <w:sz w:val="14"/>
              </w:rPr>
              <w:t>AOI/date/policy</w:t>
            </w:r>
          </w:p>
        </w:tc>
        <w:tc>
          <w:tcPr>
            <w:tcW w:type="dxa" w:w="1728"/>
          </w:tcPr>
          <w:p>
            <w:pPr>
              <w:spacing w:after="0"/>
              <w:jc w:val="left"/>
            </w:pPr>
            <w:r>
              <w:rPr>
                <w:rFonts w:ascii="Calibri" w:hAnsi="Calibri"/>
                <w:b w:val="0"/>
                <w:i w:val="0"/>
                <w:color w:val="111827"/>
                <w:sz w:val="14"/>
              </w:rPr>
              <w:t>Project summary + version</w:t>
            </w:r>
          </w:p>
        </w:tc>
        <w:tc>
          <w:tcPr>
            <w:tcW w:type="dxa" w:w="1296"/>
          </w:tcPr>
          <w:p>
            <w:pPr>
              <w:spacing w:after="0"/>
              <w:jc w:val="left"/>
            </w:pPr>
            <w:r>
              <w:rPr>
                <w:rFonts w:ascii="Calibri" w:hAnsi="Calibri"/>
                <w:b w:val="0"/>
                <w:i w:val="0"/>
                <w:color w:val="111827"/>
                <w:sz w:val="14"/>
              </w:rPr>
              <w:t>FR-01, PR-07</w:t>
            </w:r>
          </w:p>
        </w:tc>
      </w:tr>
      <w:tr>
        <w:tc>
          <w:tcPr>
            <w:tcW w:type="dxa" w:w="691"/>
            <w:shd w:fill="F4F7FB"/>
          </w:tcPr>
          <w:p>
            <w:pPr>
              <w:spacing w:after="0"/>
              <w:jc w:val="left"/>
            </w:pPr>
            <w:r>
              <w:rPr>
                <w:rFonts w:ascii="Calibri" w:hAnsi="Calibri"/>
                <w:b/>
                <w:i w:val="0"/>
                <w:color w:val="111827"/>
                <w:sz w:val="14"/>
              </w:rPr>
              <w:t>SVC-02</w:t>
            </w:r>
          </w:p>
        </w:tc>
        <w:tc>
          <w:tcPr>
            <w:tcW w:type="dxa" w:w="1612"/>
            <w:shd w:fill="F4F7FB"/>
          </w:tcPr>
          <w:p>
            <w:pPr>
              <w:spacing w:after="0"/>
              <w:jc w:val="left"/>
            </w:pPr>
            <w:r>
              <w:rPr>
                <w:rFonts w:ascii="Calibri" w:hAnsi="Calibri"/>
                <w:b w:val="0"/>
                <w:i w:val="0"/>
                <w:color w:val="111827"/>
                <w:sz w:val="14"/>
              </w:rPr>
              <w:t>Submit Analysis Job</w:t>
            </w:r>
          </w:p>
        </w:tc>
        <w:tc>
          <w:tcPr>
            <w:tcW w:type="dxa" w:w="1512"/>
            <w:shd w:fill="F4F7FB"/>
          </w:tcPr>
          <w:p>
            <w:pPr>
              <w:spacing w:after="0"/>
              <w:jc w:val="left"/>
            </w:pPr>
            <w:r>
              <w:rPr>
                <w:rFonts w:ascii="Calibri" w:hAnsi="Calibri"/>
                <w:b w:val="0"/>
                <w:i w:val="0"/>
                <w:color w:val="111827"/>
                <w:sz w:val="14"/>
              </w:rPr>
              <w:t>Orchestrator</w:t>
            </w:r>
          </w:p>
        </w:tc>
        <w:tc>
          <w:tcPr>
            <w:tcW w:type="dxa" w:w="1368"/>
            <w:shd w:fill="F4F7FB"/>
          </w:tcPr>
          <w:p>
            <w:pPr>
              <w:spacing w:after="0"/>
              <w:jc w:val="left"/>
            </w:pPr>
            <w:r>
              <w:rPr>
                <w:rFonts w:ascii="Calibri" w:hAnsi="Calibri"/>
                <w:b w:val="0"/>
                <w:i w:val="0"/>
                <w:color w:val="111827"/>
                <w:sz w:val="14"/>
              </w:rPr>
              <w:t>API</w:t>
            </w:r>
          </w:p>
        </w:tc>
        <w:tc>
          <w:tcPr>
            <w:tcW w:type="dxa" w:w="892"/>
            <w:shd w:fill="F4F7FB"/>
          </w:tcPr>
          <w:p>
            <w:pPr>
              <w:spacing w:after="0"/>
              <w:jc w:val="left"/>
            </w:pPr>
            <w:r>
              <w:rPr>
                <w:rFonts w:ascii="Calibri" w:hAnsi="Calibri"/>
                <w:b w:val="0"/>
                <w:i w:val="0"/>
                <w:color w:val="111827"/>
                <w:sz w:val="14"/>
              </w:rPr>
              <w:t>Sync→Async</w:t>
            </w:r>
          </w:p>
        </w:tc>
        <w:tc>
          <w:tcPr>
            <w:tcW w:type="dxa" w:w="1800"/>
            <w:shd w:fill="F4F7FB"/>
          </w:tcPr>
          <w:p>
            <w:pPr>
              <w:spacing w:after="0"/>
              <w:jc w:val="left"/>
            </w:pPr>
            <w:r>
              <w:rPr>
                <w:rFonts w:ascii="Calibri" w:hAnsi="Calibri"/>
                <w:b w:val="0"/>
                <w:i w:val="0"/>
                <w:color w:val="111827"/>
                <w:sz w:val="14"/>
              </w:rPr>
              <w:t>Project + config + idempotency</w:t>
            </w:r>
          </w:p>
        </w:tc>
        <w:tc>
          <w:tcPr>
            <w:tcW w:type="dxa" w:w="1728"/>
            <w:shd w:fill="F4F7FB"/>
          </w:tcPr>
          <w:p>
            <w:pPr>
              <w:spacing w:after="0"/>
              <w:jc w:val="left"/>
            </w:pPr>
            <w:r>
              <w:rPr>
                <w:rFonts w:ascii="Calibri" w:hAnsi="Calibri"/>
                <w:b w:val="0"/>
                <w:i w:val="0"/>
                <w:color w:val="111827"/>
                <w:sz w:val="14"/>
              </w:rPr>
              <w:t>Job id/state</w:t>
            </w:r>
          </w:p>
        </w:tc>
        <w:tc>
          <w:tcPr>
            <w:tcW w:type="dxa" w:w="1296"/>
            <w:shd w:fill="F4F7FB"/>
          </w:tcPr>
          <w:p>
            <w:pPr>
              <w:spacing w:after="0"/>
              <w:jc w:val="left"/>
            </w:pPr>
            <w:r>
              <w:rPr>
                <w:rFonts w:ascii="Calibri" w:hAnsi="Calibri"/>
                <w:b w:val="0"/>
                <w:i w:val="0"/>
                <w:color w:val="111827"/>
                <w:sz w:val="14"/>
              </w:rPr>
              <w:t>FR-12, NFR-05</w:t>
            </w:r>
          </w:p>
        </w:tc>
      </w:tr>
      <w:tr>
        <w:tc>
          <w:tcPr>
            <w:tcW w:type="dxa" w:w="691"/>
          </w:tcPr>
          <w:p>
            <w:pPr>
              <w:spacing w:after="0"/>
              <w:jc w:val="left"/>
            </w:pPr>
            <w:r>
              <w:rPr>
                <w:rFonts w:ascii="Calibri" w:hAnsi="Calibri"/>
                <w:b/>
                <w:i w:val="0"/>
                <w:color w:val="111827"/>
                <w:sz w:val="14"/>
              </w:rPr>
              <w:t>SVC-03</w:t>
            </w:r>
          </w:p>
        </w:tc>
        <w:tc>
          <w:tcPr>
            <w:tcW w:type="dxa" w:w="1612"/>
          </w:tcPr>
          <w:p>
            <w:pPr>
              <w:spacing w:after="0"/>
              <w:jc w:val="left"/>
            </w:pPr>
            <w:r>
              <w:rPr>
                <w:rFonts w:ascii="Calibri" w:hAnsi="Calibri"/>
                <w:b w:val="0"/>
                <w:i w:val="0"/>
                <w:color w:val="111827"/>
                <w:sz w:val="14"/>
              </w:rPr>
              <w:t>Acquire Scene Manifest</w:t>
            </w:r>
          </w:p>
        </w:tc>
        <w:tc>
          <w:tcPr>
            <w:tcW w:type="dxa" w:w="1512"/>
          </w:tcPr>
          <w:p>
            <w:pPr>
              <w:spacing w:after="0"/>
              <w:jc w:val="left"/>
            </w:pPr>
            <w:r>
              <w:rPr>
                <w:rFonts w:ascii="Calibri" w:hAnsi="Calibri"/>
                <w:b w:val="0"/>
                <w:i w:val="0"/>
                <w:color w:val="111827"/>
                <w:sz w:val="14"/>
              </w:rPr>
              <w:t>Data Acquisition</w:t>
            </w:r>
          </w:p>
        </w:tc>
        <w:tc>
          <w:tcPr>
            <w:tcW w:type="dxa" w:w="1368"/>
          </w:tcPr>
          <w:p>
            <w:pPr>
              <w:spacing w:after="0"/>
              <w:jc w:val="left"/>
            </w:pPr>
            <w:r>
              <w:rPr>
                <w:rFonts w:ascii="Calibri" w:hAnsi="Calibri"/>
                <w:b w:val="0"/>
                <w:i w:val="0"/>
                <w:color w:val="111827"/>
                <w:sz w:val="14"/>
              </w:rPr>
              <w:t>Orchestrator</w:t>
            </w:r>
          </w:p>
        </w:tc>
        <w:tc>
          <w:tcPr>
            <w:tcW w:type="dxa" w:w="892"/>
          </w:tcPr>
          <w:p>
            <w:pPr>
              <w:spacing w:after="0"/>
              <w:jc w:val="left"/>
            </w:pPr>
            <w:r>
              <w:rPr>
                <w:rFonts w:ascii="Calibri" w:hAnsi="Calibri"/>
                <w:b w:val="0"/>
                <w:i w:val="0"/>
                <w:color w:val="111827"/>
                <w:sz w:val="14"/>
              </w:rPr>
              <w:t>Async</w:t>
            </w:r>
          </w:p>
        </w:tc>
        <w:tc>
          <w:tcPr>
            <w:tcW w:type="dxa" w:w="1800"/>
          </w:tcPr>
          <w:p>
            <w:pPr>
              <w:spacing w:after="0"/>
              <w:jc w:val="left"/>
            </w:pPr>
            <w:r>
              <w:rPr>
                <w:rFonts w:ascii="Calibri" w:hAnsi="Calibri"/>
                <w:b w:val="0"/>
                <w:i w:val="0"/>
                <w:color w:val="111827"/>
                <w:sz w:val="14"/>
              </w:rPr>
              <w:t>AOI/date/provider</w:t>
            </w:r>
          </w:p>
        </w:tc>
        <w:tc>
          <w:tcPr>
            <w:tcW w:type="dxa" w:w="1728"/>
          </w:tcPr>
          <w:p>
            <w:pPr>
              <w:spacing w:after="0"/>
              <w:jc w:val="left"/>
            </w:pPr>
            <w:r>
              <w:rPr>
                <w:rFonts w:ascii="Calibri" w:hAnsi="Calibri"/>
                <w:b w:val="0"/>
                <w:i w:val="0"/>
                <w:color w:val="111827"/>
                <w:sz w:val="14"/>
              </w:rPr>
              <w:t>Scene manifest + provenance</w:t>
            </w:r>
          </w:p>
        </w:tc>
        <w:tc>
          <w:tcPr>
            <w:tcW w:type="dxa" w:w="1296"/>
          </w:tcPr>
          <w:p>
            <w:pPr>
              <w:spacing w:after="0"/>
              <w:jc w:val="left"/>
            </w:pPr>
            <w:r>
              <w:rPr>
                <w:rFonts w:ascii="Calibri" w:hAnsi="Calibri"/>
                <w:b w:val="0"/>
                <w:i w:val="0"/>
                <w:color w:val="111827"/>
                <w:sz w:val="14"/>
              </w:rPr>
              <w:t>FR-01, PR-03</w:t>
            </w:r>
          </w:p>
        </w:tc>
      </w:tr>
      <w:tr>
        <w:tc>
          <w:tcPr>
            <w:tcW w:type="dxa" w:w="691"/>
            <w:shd w:fill="F4F7FB"/>
          </w:tcPr>
          <w:p>
            <w:pPr>
              <w:spacing w:after="0"/>
              <w:jc w:val="left"/>
            </w:pPr>
            <w:r>
              <w:rPr>
                <w:rFonts w:ascii="Calibri" w:hAnsi="Calibri"/>
                <w:b/>
                <w:i w:val="0"/>
                <w:color w:val="111827"/>
                <w:sz w:val="14"/>
              </w:rPr>
              <w:t>SVC-04</w:t>
            </w:r>
          </w:p>
        </w:tc>
        <w:tc>
          <w:tcPr>
            <w:tcW w:type="dxa" w:w="1612"/>
            <w:shd w:fill="F4F7FB"/>
          </w:tcPr>
          <w:p>
            <w:pPr>
              <w:spacing w:after="0"/>
              <w:jc w:val="left"/>
            </w:pPr>
            <w:r>
              <w:rPr>
                <w:rFonts w:ascii="Calibri" w:hAnsi="Calibri"/>
                <w:b w:val="0"/>
                <w:i w:val="0"/>
                <w:color w:val="111827"/>
                <w:sz w:val="14"/>
              </w:rPr>
              <w:t>Build Seasonal Composite</w:t>
            </w:r>
          </w:p>
        </w:tc>
        <w:tc>
          <w:tcPr>
            <w:tcW w:type="dxa" w:w="1512"/>
            <w:shd w:fill="F4F7FB"/>
          </w:tcPr>
          <w:p>
            <w:pPr>
              <w:spacing w:after="0"/>
              <w:jc w:val="left"/>
            </w:pPr>
            <w:r>
              <w:rPr>
                <w:rFonts w:ascii="Calibri" w:hAnsi="Calibri"/>
                <w:b w:val="0"/>
                <w:i w:val="0"/>
                <w:color w:val="111827"/>
                <w:sz w:val="14"/>
              </w:rPr>
              <w:t>Preprocessing</w:t>
            </w:r>
          </w:p>
        </w:tc>
        <w:tc>
          <w:tcPr>
            <w:tcW w:type="dxa" w:w="1368"/>
            <w:shd w:fill="F4F7FB"/>
          </w:tcPr>
          <w:p>
            <w:pPr>
              <w:spacing w:after="0"/>
              <w:jc w:val="left"/>
            </w:pPr>
            <w:r>
              <w:rPr>
                <w:rFonts w:ascii="Calibri" w:hAnsi="Calibri"/>
                <w:b w:val="0"/>
                <w:i w:val="0"/>
                <w:color w:val="111827"/>
                <w:sz w:val="14"/>
              </w:rPr>
              <w:t>Orchestrator</w:t>
            </w:r>
          </w:p>
        </w:tc>
        <w:tc>
          <w:tcPr>
            <w:tcW w:type="dxa" w:w="892"/>
            <w:shd w:fill="F4F7FB"/>
          </w:tcPr>
          <w:p>
            <w:pPr>
              <w:spacing w:after="0"/>
              <w:jc w:val="left"/>
            </w:pPr>
            <w:r>
              <w:rPr>
                <w:rFonts w:ascii="Calibri" w:hAnsi="Calibri"/>
                <w:b w:val="0"/>
                <w:i w:val="0"/>
                <w:color w:val="111827"/>
                <w:sz w:val="14"/>
              </w:rPr>
              <w:t>Async</w:t>
            </w:r>
          </w:p>
        </w:tc>
        <w:tc>
          <w:tcPr>
            <w:tcW w:type="dxa" w:w="1800"/>
            <w:shd w:fill="F4F7FB"/>
          </w:tcPr>
          <w:p>
            <w:pPr>
              <w:spacing w:after="0"/>
              <w:jc w:val="left"/>
            </w:pPr>
            <w:r>
              <w:rPr>
                <w:rFonts w:ascii="Calibri" w:hAnsi="Calibri"/>
                <w:b w:val="0"/>
                <w:i w:val="0"/>
                <w:color w:val="111827"/>
                <w:sz w:val="14"/>
              </w:rPr>
              <w:t>Scenes + equal-area target grid</w:t>
            </w:r>
          </w:p>
        </w:tc>
        <w:tc>
          <w:tcPr>
            <w:tcW w:type="dxa" w:w="1728"/>
            <w:shd w:fill="F4F7FB"/>
          </w:tcPr>
          <w:p>
            <w:pPr>
              <w:spacing w:after="0"/>
              <w:jc w:val="left"/>
            </w:pPr>
            <w:r>
              <w:rPr>
                <w:rFonts w:ascii="Calibri" w:hAnsi="Calibri"/>
                <w:b w:val="0"/>
                <w:i w:val="0"/>
                <w:color w:val="111827"/>
                <w:sz w:val="14"/>
              </w:rPr>
              <w:t>Composite + quality + CRS metadata</w:t>
            </w:r>
          </w:p>
        </w:tc>
        <w:tc>
          <w:tcPr>
            <w:tcW w:type="dxa" w:w="1296"/>
            <w:shd w:fill="F4F7FB"/>
          </w:tcPr>
          <w:p>
            <w:pPr>
              <w:spacing w:after="0"/>
              <w:jc w:val="left"/>
            </w:pPr>
            <w:r>
              <w:rPr>
                <w:rFonts w:ascii="Calibri" w:hAnsi="Calibri"/>
                <w:b w:val="0"/>
                <w:i w:val="0"/>
                <w:color w:val="111827"/>
                <w:sz w:val="14"/>
              </w:rPr>
              <w:t>FR-02, FR-15</w:t>
            </w:r>
          </w:p>
        </w:tc>
      </w:tr>
      <w:tr>
        <w:tc>
          <w:tcPr>
            <w:tcW w:type="dxa" w:w="691"/>
          </w:tcPr>
          <w:p>
            <w:pPr>
              <w:spacing w:after="0"/>
              <w:jc w:val="left"/>
            </w:pPr>
            <w:r>
              <w:rPr>
                <w:rFonts w:ascii="Calibri" w:hAnsi="Calibri"/>
                <w:b/>
                <w:i w:val="0"/>
                <w:color w:val="111827"/>
                <w:sz w:val="14"/>
              </w:rPr>
              <w:t>SVC-05</w:t>
            </w:r>
          </w:p>
        </w:tc>
        <w:tc>
          <w:tcPr>
            <w:tcW w:type="dxa" w:w="1612"/>
          </w:tcPr>
          <w:p>
            <w:pPr>
              <w:spacing w:after="0"/>
              <w:jc w:val="left"/>
            </w:pPr>
            <w:r>
              <w:rPr>
                <w:rFonts w:ascii="Calibri" w:hAnsi="Calibri"/>
                <w:b w:val="0"/>
                <w:i w:val="0"/>
                <w:color w:val="111827"/>
                <w:sz w:val="14"/>
              </w:rPr>
              <w:t>Train Seasonal Model</w:t>
            </w:r>
          </w:p>
        </w:tc>
        <w:tc>
          <w:tcPr>
            <w:tcW w:type="dxa" w:w="1512"/>
          </w:tcPr>
          <w:p>
            <w:pPr>
              <w:spacing w:after="0"/>
              <w:jc w:val="left"/>
            </w:pPr>
            <w:r>
              <w:rPr>
                <w:rFonts w:ascii="Calibri" w:hAnsi="Calibri"/>
                <w:b w:val="0"/>
                <w:i w:val="0"/>
                <w:color w:val="111827"/>
                <w:sz w:val="14"/>
              </w:rPr>
              <w:t>Segmentation Training</w:t>
            </w:r>
          </w:p>
        </w:tc>
        <w:tc>
          <w:tcPr>
            <w:tcW w:type="dxa" w:w="1368"/>
          </w:tcPr>
          <w:p>
            <w:pPr>
              <w:spacing w:after="0"/>
              <w:jc w:val="left"/>
            </w:pPr>
            <w:r>
              <w:rPr>
                <w:rFonts w:ascii="Calibri" w:hAnsi="Calibri"/>
                <w:b w:val="0"/>
                <w:i w:val="0"/>
                <w:color w:val="111827"/>
                <w:sz w:val="14"/>
              </w:rPr>
              <w:t>Technical operator</w:t>
            </w:r>
          </w:p>
        </w:tc>
        <w:tc>
          <w:tcPr>
            <w:tcW w:type="dxa" w:w="892"/>
          </w:tcPr>
          <w:p>
            <w:pPr>
              <w:spacing w:after="0"/>
              <w:jc w:val="left"/>
            </w:pPr>
            <w:r>
              <w:rPr>
                <w:rFonts w:ascii="Calibri" w:hAnsi="Calibri"/>
                <w:b w:val="0"/>
                <w:i w:val="0"/>
                <w:color w:val="111827"/>
                <w:sz w:val="14"/>
              </w:rPr>
              <w:t>Async</w:t>
            </w:r>
          </w:p>
        </w:tc>
        <w:tc>
          <w:tcPr>
            <w:tcW w:type="dxa" w:w="1800"/>
          </w:tcPr>
          <w:p>
            <w:pPr>
              <w:spacing w:after="0"/>
              <w:jc w:val="left"/>
            </w:pPr>
            <w:r>
              <w:rPr>
                <w:rFonts w:ascii="Calibri" w:hAnsi="Calibri"/>
                <w:b w:val="0"/>
                <w:i w:val="0"/>
                <w:color w:val="111827"/>
                <w:sz w:val="14"/>
              </w:rPr>
              <w:t>Manifest + season + config</w:t>
            </w:r>
          </w:p>
        </w:tc>
        <w:tc>
          <w:tcPr>
            <w:tcW w:type="dxa" w:w="1728"/>
          </w:tcPr>
          <w:p>
            <w:pPr>
              <w:spacing w:after="0"/>
              <w:jc w:val="left"/>
            </w:pPr>
            <w:r>
              <w:rPr>
                <w:rFonts w:ascii="Calibri" w:hAnsi="Calibri"/>
                <w:b w:val="0"/>
                <w:i w:val="0"/>
                <w:color w:val="111827"/>
                <w:sz w:val="14"/>
              </w:rPr>
              <w:t>ModelVersion + metrics</w:t>
            </w:r>
          </w:p>
        </w:tc>
        <w:tc>
          <w:tcPr>
            <w:tcW w:type="dxa" w:w="1296"/>
          </w:tcPr>
          <w:p>
            <w:pPr>
              <w:spacing w:after="0"/>
              <w:jc w:val="left"/>
            </w:pPr>
            <w:r>
              <w:rPr>
                <w:rFonts w:ascii="Calibri" w:hAnsi="Calibri"/>
                <w:b w:val="0"/>
                <w:i w:val="0"/>
                <w:color w:val="111827"/>
                <w:sz w:val="14"/>
              </w:rPr>
              <w:t>FR-03, NFR-01</w:t>
            </w:r>
          </w:p>
        </w:tc>
      </w:tr>
      <w:tr>
        <w:tc>
          <w:tcPr>
            <w:tcW w:type="dxa" w:w="691"/>
            <w:shd w:fill="F4F7FB"/>
          </w:tcPr>
          <w:p>
            <w:pPr>
              <w:spacing w:after="0"/>
              <w:jc w:val="left"/>
            </w:pPr>
            <w:r>
              <w:rPr>
                <w:rFonts w:ascii="Calibri" w:hAnsi="Calibri"/>
                <w:b/>
                <w:i w:val="0"/>
                <w:color w:val="111827"/>
                <w:sz w:val="14"/>
              </w:rPr>
              <w:t>SVC-06</w:t>
            </w:r>
          </w:p>
        </w:tc>
        <w:tc>
          <w:tcPr>
            <w:tcW w:type="dxa" w:w="1612"/>
            <w:shd w:fill="F4F7FB"/>
          </w:tcPr>
          <w:p>
            <w:pPr>
              <w:spacing w:after="0"/>
              <w:jc w:val="left"/>
            </w:pPr>
            <w:r>
              <w:rPr>
                <w:rFonts w:ascii="Calibri" w:hAnsi="Calibri"/>
                <w:b w:val="0"/>
                <w:i w:val="0"/>
                <w:color w:val="111827"/>
                <w:sz w:val="14"/>
              </w:rPr>
              <w:t>Segment Composite</w:t>
            </w:r>
          </w:p>
        </w:tc>
        <w:tc>
          <w:tcPr>
            <w:tcW w:type="dxa" w:w="1512"/>
            <w:shd w:fill="F4F7FB"/>
          </w:tcPr>
          <w:p>
            <w:pPr>
              <w:spacing w:after="0"/>
              <w:jc w:val="left"/>
            </w:pPr>
            <w:r>
              <w:rPr>
                <w:rFonts w:ascii="Calibri" w:hAnsi="Calibri"/>
                <w:b w:val="0"/>
                <w:i w:val="0"/>
                <w:color w:val="111827"/>
                <w:sz w:val="14"/>
              </w:rPr>
              <w:t>Inference</w:t>
            </w:r>
          </w:p>
        </w:tc>
        <w:tc>
          <w:tcPr>
            <w:tcW w:type="dxa" w:w="1368"/>
            <w:shd w:fill="F4F7FB"/>
          </w:tcPr>
          <w:p>
            <w:pPr>
              <w:spacing w:after="0"/>
              <w:jc w:val="left"/>
            </w:pPr>
            <w:r>
              <w:rPr>
                <w:rFonts w:ascii="Calibri" w:hAnsi="Calibri"/>
                <w:b w:val="0"/>
                <w:i w:val="0"/>
                <w:color w:val="111827"/>
                <w:sz w:val="14"/>
              </w:rPr>
              <w:t>Orchestrator</w:t>
            </w:r>
          </w:p>
        </w:tc>
        <w:tc>
          <w:tcPr>
            <w:tcW w:type="dxa" w:w="892"/>
            <w:shd w:fill="F4F7FB"/>
          </w:tcPr>
          <w:p>
            <w:pPr>
              <w:spacing w:after="0"/>
              <w:jc w:val="left"/>
            </w:pPr>
            <w:r>
              <w:rPr>
                <w:rFonts w:ascii="Calibri" w:hAnsi="Calibri"/>
                <w:b w:val="0"/>
                <w:i w:val="0"/>
                <w:color w:val="111827"/>
                <w:sz w:val="14"/>
              </w:rPr>
              <w:t>Async</w:t>
            </w:r>
          </w:p>
        </w:tc>
        <w:tc>
          <w:tcPr>
            <w:tcW w:type="dxa" w:w="1800"/>
            <w:shd w:fill="F4F7FB"/>
          </w:tcPr>
          <w:p>
            <w:pPr>
              <w:spacing w:after="0"/>
              <w:jc w:val="left"/>
            </w:pPr>
            <w:r>
              <w:rPr>
                <w:rFonts w:ascii="Calibri" w:hAnsi="Calibri"/>
                <w:b w:val="0"/>
                <w:i w:val="0"/>
                <w:color w:val="111827"/>
                <w:sz w:val="14"/>
              </w:rPr>
              <w:t>Composite + validated model</w:t>
            </w:r>
          </w:p>
        </w:tc>
        <w:tc>
          <w:tcPr>
            <w:tcW w:type="dxa" w:w="1728"/>
            <w:shd w:fill="F4F7FB"/>
          </w:tcPr>
          <w:p>
            <w:pPr>
              <w:spacing w:after="0"/>
              <w:jc w:val="left"/>
            </w:pPr>
            <w:r>
              <w:rPr>
                <w:rFonts w:ascii="Calibri" w:hAnsi="Calibri"/>
                <w:b w:val="0"/>
                <w:i w:val="0"/>
                <w:color w:val="111827"/>
                <w:sz w:val="14"/>
              </w:rPr>
              <w:t>Map + confidence</w:t>
            </w:r>
          </w:p>
        </w:tc>
        <w:tc>
          <w:tcPr>
            <w:tcW w:type="dxa" w:w="1296"/>
            <w:shd w:fill="F4F7FB"/>
          </w:tcPr>
          <w:p>
            <w:pPr>
              <w:spacing w:after="0"/>
              <w:jc w:val="left"/>
            </w:pPr>
            <w:r>
              <w:rPr>
                <w:rFonts w:ascii="Calibri" w:hAnsi="Calibri"/>
                <w:b w:val="0"/>
                <w:i w:val="0"/>
                <w:color w:val="111827"/>
                <w:sz w:val="14"/>
              </w:rPr>
              <w:t>FR-04, FR-05</w:t>
            </w:r>
          </w:p>
        </w:tc>
      </w:tr>
      <w:tr>
        <w:tc>
          <w:tcPr>
            <w:tcW w:type="dxa" w:w="691"/>
          </w:tcPr>
          <w:p>
            <w:pPr>
              <w:spacing w:after="0"/>
              <w:jc w:val="left"/>
            </w:pPr>
            <w:r>
              <w:rPr>
                <w:rFonts w:ascii="Calibri" w:hAnsi="Calibri"/>
                <w:b/>
                <w:i w:val="0"/>
                <w:color w:val="111827"/>
                <w:sz w:val="14"/>
              </w:rPr>
              <w:t>SVC-07</w:t>
            </w:r>
          </w:p>
        </w:tc>
        <w:tc>
          <w:tcPr>
            <w:tcW w:type="dxa" w:w="1612"/>
          </w:tcPr>
          <w:p>
            <w:pPr>
              <w:spacing w:after="0"/>
              <w:jc w:val="left"/>
            </w:pPr>
            <w:r>
              <w:rPr>
                <w:rFonts w:ascii="Calibri" w:hAnsi="Calibri"/>
                <w:b w:val="0"/>
                <w:i w:val="0"/>
                <w:color w:val="111827"/>
                <w:sz w:val="14"/>
              </w:rPr>
              <w:t>Extract Area Metrics</w:t>
            </w:r>
          </w:p>
        </w:tc>
        <w:tc>
          <w:tcPr>
            <w:tcW w:type="dxa" w:w="1512"/>
          </w:tcPr>
          <w:p>
            <w:pPr>
              <w:spacing w:after="0"/>
              <w:jc w:val="left"/>
            </w:pPr>
            <w:r>
              <w:rPr>
                <w:rFonts w:ascii="Calibri" w:hAnsi="Calibri"/>
                <w:b w:val="0"/>
                <w:i w:val="0"/>
                <w:color w:val="111827"/>
                <w:sz w:val="14"/>
              </w:rPr>
              <w:t>Metrics</w:t>
            </w:r>
          </w:p>
        </w:tc>
        <w:tc>
          <w:tcPr>
            <w:tcW w:type="dxa" w:w="1368"/>
          </w:tcPr>
          <w:p>
            <w:pPr>
              <w:spacing w:after="0"/>
              <w:jc w:val="left"/>
            </w:pPr>
            <w:r>
              <w:rPr>
                <w:rFonts w:ascii="Calibri" w:hAnsi="Calibri"/>
                <w:b w:val="0"/>
                <w:i w:val="0"/>
                <w:color w:val="111827"/>
                <w:sz w:val="14"/>
              </w:rPr>
              <w:t>Orchestrator</w:t>
            </w:r>
          </w:p>
        </w:tc>
        <w:tc>
          <w:tcPr>
            <w:tcW w:type="dxa" w:w="892"/>
          </w:tcPr>
          <w:p>
            <w:pPr>
              <w:spacing w:after="0"/>
              <w:jc w:val="left"/>
            </w:pPr>
            <w:r>
              <w:rPr>
                <w:rFonts w:ascii="Calibri" w:hAnsi="Calibri"/>
                <w:b w:val="0"/>
                <w:i w:val="0"/>
                <w:color w:val="111827"/>
                <w:sz w:val="14"/>
              </w:rPr>
              <w:t>Async</w:t>
            </w:r>
          </w:p>
        </w:tc>
        <w:tc>
          <w:tcPr>
            <w:tcW w:type="dxa" w:w="1800"/>
          </w:tcPr>
          <w:p>
            <w:pPr>
              <w:spacing w:after="0"/>
              <w:jc w:val="left"/>
            </w:pPr>
            <w:r>
              <w:rPr>
                <w:rFonts w:ascii="Calibri" w:hAnsi="Calibri"/>
                <w:b w:val="0"/>
                <w:i w:val="0"/>
                <w:color w:val="111827"/>
                <w:sz w:val="14"/>
              </w:rPr>
              <w:t>Map + equal-area AOI/grid</w:t>
            </w:r>
          </w:p>
        </w:tc>
        <w:tc>
          <w:tcPr>
            <w:tcW w:type="dxa" w:w="1728"/>
          </w:tcPr>
          <w:p>
            <w:pPr>
              <w:spacing w:after="0"/>
              <w:jc w:val="left"/>
            </w:pPr>
            <w:r>
              <w:rPr>
                <w:rFonts w:ascii="Calibri" w:hAnsi="Calibri"/>
                <w:b w:val="0"/>
                <w:i w:val="0"/>
                <w:color w:val="111827"/>
                <w:sz w:val="14"/>
              </w:rPr>
              <w:t>Class m²/km² + explicit green/built ratio</w:t>
            </w:r>
          </w:p>
        </w:tc>
        <w:tc>
          <w:tcPr>
            <w:tcW w:type="dxa" w:w="1296"/>
          </w:tcPr>
          <w:p>
            <w:pPr>
              <w:spacing w:after="0"/>
              <w:jc w:val="left"/>
            </w:pPr>
            <w:r>
              <w:rPr>
                <w:rFonts w:ascii="Calibri" w:hAnsi="Calibri"/>
                <w:b w:val="0"/>
                <w:i w:val="0"/>
                <w:color w:val="111827"/>
                <w:sz w:val="14"/>
              </w:rPr>
              <w:t>FR-06</w:t>
            </w:r>
          </w:p>
        </w:tc>
      </w:tr>
      <w:tr>
        <w:tc>
          <w:tcPr>
            <w:tcW w:type="dxa" w:w="691"/>
            <w:shd w:fill="F4F7FB"/>
          </w:tcPr>
          <w:p>
            <w:pPr>
              <w:spacing w:after="0"/>
              <w:jc w:val="left"/>
            </w:pPr>
            <w:r>
              <w:rPr>
                <w:rFonts w:ascii="Calibri" w:hAnsi="Calibri"/>
                <w:b/>
                <w:i w:val="0"/>
                <w:color w:val="111827"/>
                <w:sz w:val="14"/>
              </w:rPr>
              <w:t>SVC-08</w:t>
            </w:r>
          </w:p>
        </w:tc>
        <w:tc>
          <w:tcPr>
            <w:tcW w:type="dxa" w:w="1612"/>
            <w:shd w:fill="F4F7FB"/>
          </w:tcPr>
          <w:p>
            <w:pPr>
              <w:spacing w:after="0"/>
              <w:jc w:val="left"/>
            </w:pPr>
            <w:r>
              <w:rPr>
                <w:rFonts w:ascii="Calibri" w:hAnsi="Calibri"/>
                <w:b w:val="0"/>
                <w:i w:val="0"/>
                <w:color w:val="111827"/>
                <w:sz w:val="14"/>
              </w:rPr>
              <w:t>Build Time Series</w:t>
            </w:r>
          </w:p>
        </w:tc>
        <w:tc>
          <w:tcPr>
            <w:tcW w:type="dxa" w:w="1512"/>
            <w:shd w:fill="F4F7FB"/>
          </w:tcPr>
          <w:p>
            <w:pPr>
              <w:spacing w:after="0"/>
              <w:jc w:val="left"/>
            </w:pPr>
            <w:r>
              <w:rPr>
                <w:rFonts w:ascii="Calibri" w:hAnsi="Calibri"/>
                <w:b w:val="0"/>
                <w:i w:val="0"/>
                <w:color w:val="111827"/>
                <w:sz w:val="14"/>
              </w:rPr>
              <w:t>Metrics</w:t>
            </w:r>
          </w:p>
        </w:tc>
        <w:tc>
          <w:tcPr>
            <w:tcW w:type="dxa" w:w="1368"/>
            <w:shd w:fill="F4F7FB"/>
          </w:tcPr>
          <w:p>
            <w:pPr>
              <w:spacing w:after="0"/>
              <w:jc w:val="left"/>
            </w:pPr>
            <w:r>
              <w:rPr>
                <w:rFonts w:ascii="Calibri" w:hAnsi="Calibri"/>
                <w:b w:val="0"/>
                <w:i w:val="0"/>
                <w:color w:val="111827"/>
                <w:sz w:val="14"/>
              </w:rPr>
              <w:t>Forecasting</w:t>
            </w:r>
          </w:p>
        </w:tc>
        <w:tc>
          <w:tcPr>
            <w:tcW w:type="dxa" w:w="892"/>
            <w:shd w:fill="F4F7FB"/>
          </w:tcPr>
          <w:p>
            <w:pPr>
              <w:spacing w:after="0"/>
              <w:jc w:val="left"/>
            </w:pPr>
            <w:r>
              <w:rPr>
                <w:rFonts w:ascii="Calibri" w:hAnsi="Calibri"/>
                <w:b w:val="0"/>
                <w:i w:val="0"/>
                <w:color w:val="111827"/>
                <w:sz w:val="14"/>
              </w:rPr>
              <w:t>Async</w:t>
            </w:r>
          </w:p>
        </w:tc>
        <w:tc>
          <w:tcPr>
            <w:tcW w:type="dxa" w:w="1800"/>
            <w:shd w:fill="F4F7FB"/>
          </w:tcPr>
          <w:p>
            <w:pPr>
              <w:spacing w:after="0"/>
              <w:jc w:val="left"/>
            </w:pPr>
            <w:r>
              <w:rPr>
                <w:rFonts w:ascii="Calibri" w:hAnsi="Calibri"/>
                <w:b w:val="0"/>
                <w:i w:val="0"/>
                <w:color w:val="111827"/>
                <w:sz w:val="14"/>
              </w:rPr>
              <w:t>Chronological metrics + quality</w:t>
            </w:r>
          </w:p>
        </w:tc>
        <w:tc>
          <w:tcPr>
            <w:tcW w:type="dxa" w:w="1728"/>
            <w:shd w:fill="F4F7FB"/>
          </w:tcPr>
          <w:p>
            <w:pPr>
              <w:spacing w:after="0"/>
              <w:jc w:val="left"/>
            </w:pPr>
            <w:r>
              <w:rPr>
                <w:rFonts w:ascii="Calibri" w:hAnsi="Calibri"/>
                <w:b w:val="0"/>
                <w:i w:val="0"/>
                <w:color w:val="111827"/>
                <w:sz w:val="14"/>
              </w:rPr>
              <w:t>TimeSeriesDataset</w:t>
            </w:r>
          </w:p>
        </w:tc>
        <w:tc>
          <w:tcPr>
            <w:tcW w:type="dxa" w:w="1296"/>
            <w:shd w:fill="F4F7FB"/>
          </w:tcPr>
          <w:p>
            <w:pPr>
              <w:spacing w:after="0"/>
              <w:jc w:val="left"/>
            </w:pPr>
            <w:r>
              <w:rPr>
                <w:rFonts w:ascii="Calibri" w:hAnsi="Calibri"/>
                <w:b w:val="0"/>
                <w:i w:val="0"/>
                <w:color w:val="111827"/>
                <w:sz w:val="14"/>
              </w:rPr>
              <w:t>FR-06, NFR-06</w:t>
            </w:r>
          </w:p>
        </w:tc>
      </w:tr>
      <w:tr>
        <w:tc>
          <w:tcPr>
            <w:tcW w:type="dxa" w:w="691"/>
          </w:tcPr>
          <w:p>
            <w:pPr>
              <w:spacing w:after="0"/>
              <w:jc w:val="left"/>
            </w:pPr>
            <w:r>
              <w:rPr>
                <w:rFonts w:ascii="Calibri" w:hAnsi="Calibri"/>
                <w:b/>
                <w:i w:val="0"/>
                <w:color w:val="111827"/>
                <w:sz w:val="14"/>
              </w:rPr>
              <w:t>SVC-09</w:t>
            </w:r>
          </w:p>
        </w:tc>
        <w:tc>
          <w:tcPr>
            <w:tcW w:type="dxa" w:w="1612"/>
          </w:tcPr>
          <w:p>
            <w:pPr>
              <w:spacing w:after="0"/>
              <w:jc w:val="left"/>
            </w:pPr>
            <w:r>
              <w:rPr>
                <w:rFonts w:ascii="Calibri" w:hAnsi="Calibri"/>
                <w:b w:val="0"/>
                <w:i w:val="0"/>
                <w:color w:val="111827"/>
                <w:sz w:val="14"/>
              </w:rPr>
              <w:t>Run Forecast</w:t>
            </w:r>
          </w:p>
        </w:tc>
        <w:tc>
          <w:tcPr>
            <w:tcW w:type="dxa" w:w="1512"/>
          </w:tcPr>
          <w:p>
            <w:pPr>
              <w:spacing w:after="0"/>
              <w:jc w:val="left"/>
            </w:pPr>
            <w:r>
              <w:rPr>
                <w:rFonts w:ascii="Calibri" w:hAnsi="Calibri"/>
                <w:b w:val="0"/>
                <w:i w:val="0"/>
                <w:color w:val="111827"/>
                <w:sz w:val="14"/>
              </w:rPr>
              <w:t>Forecasting</w:t>
            </w:r>
          </w:p>
        </w:tc>
        <w:tc>
          <w:tcPr>
            <w:tcW w:type="dxa" w:w="1368"/>
          </w:tcPr>
          <w:p>
            <w:pPr>
              <w:spacing w:after="0"/>
              <w:jc w:val="left"/>
            </w:pPr>
            <w:r>
              <w:rPr>
                <w:rFonts w:ascii="Calibri" w:hAnsi="Calibri"/>
                <w:b w:val="0"/>
                <w:i w:val="0"/>
                <w:color w:val="111827"/>
                <w:sz w:val="14"/>
              </w:rPr>
              <w:t>Operator</w:t>
            </w:r>
          </w:p>
        </w:tc>
        <w:tc>
          <w:tcPr>
            <w:tcW w:type="dxa" w:w="892"/>
          </w:tcPr>
          <w:p>
            <w:pPr>
              <w:spacing w:after="0"/>
              <w:jc w:val="left"/>
            </w:pPr>
            <w:r>
              <w:rPr>
                <w:rFonts w:ascii="Calibri" w:hAnsi="Calibri"/>
                <w:b w:val="0"/>
                <w:i w:val="0"/>
                <w:color w:val="111827"/>
                <w:sz w:val="14"/>
              </w:rPr>
              <w:t>Async</w:t>
            </w:r>
          </w:p>
        </w:tc>
        <w:tc>
          <w:tcPr>
            <w:tcW w:type="dxa" w:w="1800"/>
          </w:tcPr>
          <w:p>
            <w:pPr>
              <w:spacing w:after="0"/>
              <w:jc w:val="left"/>
            </w:pPr>
            <w:r>
              <w:rPr>
                <w:rFonts w:ascii="Calibri" w:hAnsi="Calibri"/>
                <w:b w:val="0"/>
                <w:i w:val="0"/>
                <w:color w:val="111827"/>
                <w:sz w:val="14"/>
              </w:rPr>
              <w:t>Primary series + horizon + baselines + LSTM</w:t>
            </w:r>
          </w:p>
        </w:tc>
        <w:tc>
          <w:tcPr>
            <w:tcW w:type="dxa" w:w="1728"/>
          </w:tcPr>
          <w:p>
            <w:pPr>
              <w:spacing w:after="0"/>
              <w:jc w:val="left"/>
            </w:pPr>
            <w:r>
              <w:rPr>
                <w:rFonts w:ascii="Calibri" w:hAnsi="Calibri"/>
                <w:b w:val="0"/>
                <w:i w:val="0"/>
                <w:color w:val="111827"/>
                <w:sz w:val="14"/>
              </w:rPr>
              <w:t>Primary forecasts + uncertainty</w:t>
            </w:r>
          </w:p>
        </w:tc>
        <w:tc>
          <w:tcPr>
            <w:tcW w:type="dxa" w:w="1296"/>
          </w:tcPr>
          <w:p>
            <w:pPr>
              <w:spacing w:after="0"/>
              <w:jc w:val="left"/>
            </w:pPr>
            <w:r>
              <w:rPr>
                <w:rFonts w:ascii="Calibri" w:hAnsi="Calibri"/>
                <w:b w:val="0"/>
                <w:i w:val="0"/>
                <w:color w:val="111827"/>
                <w:sz w:val="14"/>
              </w:rPr>
              <w:t>FR-07..FR-09</w:t>
            </w:r>
          </w:p>
        </w:tc>
      </w:tr>
      <w:tr>
        <w:tc>
          <w:tcPr>
            <w:tcW w:type="dxa" w:w="691"/>
            <w:shd w:fill="F4F7FB"/>
          </w:tcPr>
          <w:p>
            <w:pPr>
              <w:spacing w:after="0"/>
              <w:jc w:val="left"/>
            </w:pPr>
            <w:r>
              <w:rPr>
                <w:rFonts w:ascii="Calibri" w:hAnsi="Calibri"/>
                <w:b/>
                <w:i w:val="0"/>
                <w:color w:val="111827"/>
                <w:sz w:val="14"/>
              </w:rPr>
              <w:t>SVC-10</w:t>
            </w:r>
          </w:p>
        </w:tc>
        <w:tc>
          <w:tcPr>
            <w:tcW w:type="dxa" w:w="1612"/>
            <w:shd w:fill="F4F7FB"/>
          </w:tcPr>
          <w:p>
            <w:pPr>
              <w:spacing w:after="0"/>
              <w:jc w:val="left"/>
            </w:pPr>
            <w:r>
              <w:rPr>
                <w:rFonts w:ascii="Calibri" w:hAnsi="Calibri"/>
                <w:b w:val="0"/>
                <w:i w:val="0"/>
                <w:color w:val="111827"/>
                <w:sz w:val="14"/>
              </w:rPr>
              <w:t>Evaluate Run</w:t>
            </w:r>
          </w:p>
        </w:tc>
        <w:tc>
          <w:tcPr>
            <w:tcW w:type="dxa" w:w="1512"/>
            <w:shd w:fill="F4F7FB"/>
          </w:tcPr>
          <w:p>
            <w:pPr>
              <w:spacing w:after="0"/>
              <w:jc w:val="left"/>
            </w:pPr>
            <w:r>
              <w:rPr>
                <w:rFonts w:ascii="Calibri" w:hAnsi="Calibri"/>
                <w:b w:val="0"/>
                <w:i w:val="0"/>
                <w:color w:val="111827"/>
                <w:sz w:val="14"/>
              </w:rPr>
              <w:t>Evaluation</w:t>
            </w:r>
          </w:p>
        </w:tc>
        <w:tc>
          <w:tcPr>
            <w:tcW w:type="dxa" w:w="1368"/>
            <w:shd w:fill="F4F7FB"/>
          </w:tcPr>
          <w:p>
            <w:pPr>
              <w:spacing w:after="0"/>
              <w:jc w:val="left"/>
            </w:pPr>
            <w:r>
              <w:rPr>
                <w:rFonts w:ascii="Calibri" w:hAnsi="Calibri"/>
                <w:b w:val="0"/>
                <w:i w:val="0"/>
                <w:color w:val="111827"/>
                <w:sz w:val="14"/>
              </w:rPr>
              <w:t>Training/Forecast</w:t>
            </w:r>
          </w:p>
        </w:tc>
        <w:tc>
          <w:tcPr>
            <w:tcW w:type="dxa" w:w="892"/>
            <w:shd w:fill="F4F7FB"/>
          </w:tcPr>
          <w:p>
            <w:pPr>
              <w:spacing w:after="0"/>
              <w:jc w:val="left"/>
            </w:pPr>
            <w:r>
              <w:rPr>
                <w:rFonts w:ascii="Calibri" w:hAnsi="Calibri"/>
                <w:b w:val="0"/>
                <w:i w:val="0"/>
                <w:color w:val="111827"/>
                <w:sz w:val="14"/>
              </w:rPr>
              <w:t>Async</w:t>
            </w:r>
          </w:p>
        </w:tc>
        <w:tc>
          <w:tcPr>
            <w:tcW w:type="dxa" w:w="1800"/>
            <w:shd w:fill="F4F7FB"/>
          </w:tcPr>
          <w:p>
            <w:pPr>
              <w:spacing w:after="0"/>
              <w:jc w:val="left"/>
            </w:pPr>
            <w:r>
              <w:rPr>
                <w:rFonts w:ascii="Calibri" w:hAnsi="Calibri"/>
                <w:b w:val="0"/>
                <w:i w:val="0"/>
                <w:color w:val="111827"/>
                <w:sz w:val="14"/>
              </w:rPr>
              <w:t>Prediction + truth/holdout</w:t>
            </w:r>
          </w:p>
        </w:tc>
        <w:tc>
          <w:tcPr>
            <w:tcW w:type="dxa" w:w="1728"/>
            <w:shd w:fill="F4F7FB"/>
          </w:tcPr>
          <w:p>
            <w:pPr>
              <w:spacing w:after="0"/>
              <w:jc w:val="left"/>
            </w:pPr>
            <w:r>
              <w:rPr>
                <w:rFonts w:ascii="Calibri" w:hAnsi="Calibri"/>
                <w:b w:val="0"/>
                <w:i w:val="0"/>
                <w:color w:val="111827"/>
                <w:sz w:val="14"/>
              </w:rPr>
              <w:t>MetricReport</w:t>
            </w:r>
          </w:p>
        </w:tc>
        <w:tc>
          <w:tcPr>
            <w:tcW w:type="dxa" w:w="1296"/>
            <w:shd w:fill="F4F7FB"/>
          </w:tcPr>
          <w:p>
            <w:pPr>
              <w:spacing w:after="0"/>
              <w:jc w:val="left"/>
            </w:pPr>
            <w:r>
              <w:rPr>
                <w:rFonts w:ascii="Calibri" w:hAnsi="Calibri"/>
                <w:b w:val="0"/>
                <w:i w:val="0"/>
                <w:color w:val="111827"/>
                <w:sz w:val="14"/>
              </w:rPr>
              <w:t>FR-10, NFR-01/02</w:t>
            </w:r>
          </w:p>
        </w:tc>
      </w:tr>
      <w:tr>
        <w:tc>
          <w:tcPr>
            <w:tcW w:type="dxa" w:w="691"/>
          </w:tcPr>
          <w:p>
            <w:pPr>
              <w:spacing w:after="0"/>
              <w:jc w:val="left"/>
            </w:pPr>
            <w:r>
              <w:rPr>
                <w:rFonts w:ascii="Calibri" w:hAnsi="Calibri"/>
                <w:b/>
                <w:i w:val="0"/>
                <w:color w:val="111827"/>
                <w:sz w:val="14"/>
              </w:rPr>
              <w:t>SVC-11</w:t>
            </w:r>
          </w:p>
        </w:tc>
        <w:tc>
          <w:tcPr>
            <w:tcW w:type="dxa" w:w="1612"/>
          </w:tcPr>
          <w:p>
            <w:pPr>
              <w:spacing w:after="0"/>
              <w:jc w:val="left"/>
            </w:pPr>
            <w:r>
              <w:rPr>
                <w:rFonts w:ascii="Calibri" w:hAnsi="Calibri"/>
                <w:b w:val="0"/>
                <w:i w:val="0"/>
                <w:color w:val="111827"/>
                <w:sz w:val="14"/>
              </w:rPr>
              <w:t>Publish Result Package</w:t>
            </w:r>
          </w:p>
        </w:tc>
        <w:tc>
          <w:tcPr>
            <w:tcW w:type="dxa" w:w="1512"/>
          </w:tcPr>
          <w:p>
            <w:pPr>
              <w:spacing w:after="0"/>
              <w:jc w:val="left"/>
            </w:pPr>
            <w:r>
              <w:rPr>
                <w:rFonts w:ascii="Calibri" w:hAnsi="Calibri"/>
                <w:b w:val="0"/>
                <w:i w:val="0"/>
                <w:color w:val="111827"/>
                <w:sz w:val="14"/>
              </w:rPr>
              <w:t>Reporting</w:t>
            </w:r>
          </w:p>
        </w:tc>
        <w:tc>
          <w:tcPr>
            <w:tcW w:type="dxa" w:w="1368"/>
          </w:tcPr>
          <w:p>
            <w:pPr>
              <w:spacing w:after="0"/>
              <w:jc w:val="left"/>
            </w:pPr>
            <w:r>
              <w:rPr>
                <w:rFonts w:ascii="Calibri" w:hAnsi="Calibri"/>
                <w:b w:val="0"/>
                <w:i w:val="0"/>
                <w:color w:val="111827"/>
                <w:sz w:val="14"/>
              </w:rPr>
              <w:t>Operator</w:t>
            </w:r>
          </w:p>
        </w:tc>
        <w:tc>
          <w:tcPr>
            <w:tcW w:type="dxa" w:w="892"/>
          </w:tcPr>
          <w:p>
            <w:pPr>
              <w:spacing w:after="0"/>
              <w:jc w:val="left"/>
            </w:pPr>
            <w:r>
              <w:rPr>
                <w:rFonts w:ascii="Calibri" w:hAnsi="Calibri"/>
                <w:b w:val="0"/>
                <w:i w:val="0"/>
                <w:color w:val="111827"/>
                <w:sz w:val="14"/>
              </w:rPr>
              <w:t>Async</w:t>
            </w:r>
          </w:p>
        </w:tc>
        <w:tc>
          <w:tcPr>
            <w:tcW w:type="dxa" w:w="1800"/>
          </w:tcPr>
          <w:p>
            <w:pPr>
              <w:spacing w:after="0"/>
              <w:jc w:val="left"/>
            </w:pPr>
            <w:r>
              <w:rPr>
                <w:rFonts w:ascii="Calibri" w:hAnsi="Calibri"/>
                <w:b w:val="0"/>
                <w:i w:val="0"/>
                <w:color w:val="111827"/>
                <w:sz w:val="14"/>
              </w:rPr>
              <w:t>LSTM result + provenance + error/cloud/license sections</w:t>
            </w:r>
          </w:p>
        </w:tc>
        <w:tc>
          <w:tcPr>
            <w:tcW w:type="dxa" w:w="1728"/>
          </w:tcPr>
          <w:p>
            <w:pPr>
              <w:spacing w:after="0"/>
              <w:jc w:val="left"/>
            </w:pPr>
            <w:r>
              <w:rPr>
                <w:rFonts w:ascii="Calibri" w:hAnsi="Calibri"/>
                <w:b w:val="0"/>
                <w:i w:val="0"/>
                <w:color w:val="111827"/>
                <w:sz w:val="14"/>
              </w:rPr>
              <w:t>Versioned compliant export</w:t>
            </w:r>
          </w:p>
        </w:tc>
        <w:tc>
          <w:tcPr>
            <w:tcW w:type="dxa" w:w="1296"/>
          </w:tcPr>
          <w:p>
            <w:pPr>
              <w:spacing w:after="0"/>
              <w:jc w:val="left"/>
            </w:pPr>
            <w:r>
              <w:rPr>
                <w:rFonts w:ascii="Calibri" w:hAnsi="Calibri"/>
                <w:b w:val="0"/>
                <w:i w:val="0"/>
                <w:color w:val="111827"/>
                <w:sz w:val="14"/>
              </w:rPr>
              <w:t>FR-11, FR-14/15</w:t>
            </w:r>
          </w:p>
        </w:tc>
      </w:tr>
      <w:tr>
        <w:tc>
          <w:tcPr>
            <w:tcW w:type="dxa" w:w="691"/>
            <w:shd w:fill="F4F7FB"/>
          </w:tcPr>
          <w:p>
            <w:pPr>
              <w:spacing w:after="0"/>
              <w:jc w:val="left"/>
            </w:pPr>
            <w:r>
              <w:rPr>
                <w:rFonts w:ascii="Calibri" w:hAnsi="Calibri"/>
                <w:b/>
                <w:i w:val="0"/>
                <w:color w:val="111827"/>
                <w:sz w:val="14"/>
              </w:rPr>
              <w:t>SVC-12</w:t>
            </w:r>
          </w:p>
        </w:tc>
        <w:tc>
          <w:tcPr>
            <w:tcW w:type="dxa" w:w="1612"/>
            <w:shd w:fill="F4F7FB"/>
          </w:tcPr>
          <w:p>
            <w:pPr>
              <w:spacing w:after="0"/>
              <w:jc w:val="left"/>
            </w:pPr>
            <w:r>
              <w:rPr>
                <w:rFonts w:ascii="Calibri" w:hAnsi="Calibri"/>
                <w:b w:val="0"/>
                <w:i w:val="0"/>
                <w:color w:val="111827"/>
                <w:sz w:val="14"/>
              </w:rPr>
              <w:t>Query Job Status</w:t>
            </w:r>
          </w:p>
        </w:tc>
        <w:tc>
          <w:tcPr>
            <w:tcW w:type="dxa" w:w="1512"/>
            <w:shd w:fill="F4F7FB"/>
          </w:tcPr>
          <w:p>
            <w:pPr>
              <w:spacing w:after="0"/>
              <w:jc w:val="left"/>
            </w:pPr>
            <w:r>
              <w:rPr>
                <w:rFonts w:ascii="Calibri" w:hAnsi="Calibri"/>
                <w:b w:val="0"/>
                <w:i w:val="0"/>
                <w:color w:val="111827"/>
                <w:sz w:val="14"/>
              </w:rPr>
              <w:t>Orchestrator</w:t>
            </w:r>
          </w:p>
        </w:tc>
        <w:tc>
          <w:tcPr>
            <w:tcW w:type="dxa" w:w="1368"/>
            <w:shd w:fill="F4F7FB"/>
          </w:tcPr>
          <w:p>
            <w:pPr>
              <w:spacing w:after="0"/>
              <w:jc w:val="left"/>
            </w:pPr>
            <w:r>
              <w:rPr>
                <w:rFonts w:ascii="Calibri" w:hAnsi="Calibri"/>
                <w:b w:val="0"/>
                <w:i w:val="0"/>
                <w:color w:val="111827"/>
                <w:sz w:val="14"/>
              </w:rPr>
              <w:t>UI/API</w:t>
            </w:r>
          </w:p>
        </w:tc>
        <w:tc>
          <w:tcPr>
            <w:tcW w:type="dxa" w:w="892"/>
            <w:shd w:fill="F4F7FB"/>
          </w:tcPr>
          <w:p>
            <w:pPr>
              <w:spacing w:after="0"/>
              <w:jc w:val="left"/>
            </w:pPr>
            <w:r>
              <w:rPr>
                <w:rFonts w:ascii="Calibri" w:hAnsi="Calibri"/>
                <w:b w:val="0"/>
                <w:i w:val="0"/>
                <w:color w:val="111827"/>
                <w:sz w:val="14"/>
              </w:rPr>
              <w:t>Sync</w:t>
            </w:r>
          </w:p>
        </w:tc>
        <w:tc>
          <w:tcPr>
            <w:tcW w:type="dxa" w:w="1800"/>
            <w:shd w:fill="F4F7FB"/>
          </w:tcPr>
          <w:p>
            <w:pPr>
              <w:spacing w:after="0"/>
              <w:jc w:val="left"/>
            </w:pPr>
            <w:r>
              <w:rPr>
                <w:rFonts w:ascii="Calibri" w:hAnsi="Calibri"/>
                <w:b w:val="0"/>
                <w:i w:val="0"/>
                <w:color w:val="111827"/>
                <w:sz w:val="14"/>
              </w:rPr>
              <w:t>Job id + capability</w:t>
            </w:r>
          </w:p>
        </w:tc>
        <w:tc>
          <w:tcPr>
            <w:tcW w:type="dxa" w:w="1728"/>
            <w:shd w:fill="F4F7FB"/>
          </w:tcPr>
          <w:p>
            <w:pPr>
              <w:spacing w:after="0"/>
              <w:jc w:val="left"/>
            </w:pPr>
            <w:r>
              <w:rPr>
                <w:rFonts w:ascii="Calibri" w:hAnsi="Calibri"/>
                <w:b w:val="0"/>
                <w:i w:val="0"/>
                <w:color w:val="111827"/>
                <w:sz w:val="14"/>
              </w:rPr>
              <w:t>State/progress/error</w:t>
            </w:r>
          </w:p>
        </w:tc>
        <w:tc>
          <w:tcPr>
            <w:tcW w:type="dxa" w:w="1296"/>
            <w:shd w:fill="F4F7FB"/>
          </w:tcPr>
          <w:p>
            <w:pPr>
              <w:spacing w:after="0"/>
              <w:jc w:val="left"/>
            </w:pPr>
            <w:r>
              <w:rPr>
                <w:rFonts w:ascii="Calibri" w:hAnsi="Calibri"/>
                <w:b w:val="0"/>
                <w:i w:val="0"/>
                <w:color w:val="111827"/>
                <w:sz w:val="14"/>
              </w:rPr>
              <w:t>NFR-07</w:t>
            </w:r>
          </w:p>
        </w:tc>
      </w:tr>
      <w:tr>
        <w:tc>
          <w:tcPr>
            <w:tcW w:type="dxa" w:w="691"/>
          </w:tcPr>
          <w:p>
            <w:pPr>
              <w:spacing w:after="0"/>
              <w:jc w:val="left"/>
            </w:pPr>
            <w:r>
              <w:rPr>
                <w:rFonts w:ascii="Calibri" w:hAnsi="Calibri"/>
                <w:b/>
                <w:i w:val="0"/>
                <w:color w:val="111827"/>
                <w:sz w:val="14"/>
              </w:rPr>
              <w:t>SVC-13</w:t>
            </w:r>
          </w:p>
        </w:tc>
        <w:tc>
          <w:tcPr>
            <w:tcW w:type="dxa" w:w="1612"/>
          </w:tcPr>
          <w:p>
            <w:pPr>
              <w:spacing w:after="0"/>
              <w:jc w:val="left"/>
            </w:pPr>
            <w:r>
              <w:rPr>
                <w:rFonts w:ascii="Calibri" w:hAnsi="Calibri"/>
                <w:b w:val="0"/>
                <w:i w:val="0"/>
                <w:color w:val="111827"/>
                <w:sz w:val="14"/>
              </w:rPr>
              <w:t>Authorize Resource</w:t>
            </w:r>
          </w:p>
        </w:tc>
        <w:tc>
          <w:tcPr>
            <w:tcW w:type="dxa" w:w="1512"/>
          </w:tcPr>
          <w:p>
            <w:pPr>
              <w:spacing w:after="0"/>
              <w:jc w:val="left"/>
            </w:pPr>
            <w:r>
              <w:rPr>
                <w:rFonts w:ascii="Calibri" w:hAnsi="Calibri"/>
                <w:b w:val="0"/>
                <w:i w:val="0"/>
                <w:color w:val="111827"/>
                <w:sz w:val="14"/>
              </w:rPr>
              <w:t>Access Policy</w:t>
            </w:r>
          </w:p>
        </w:tc>
        <w:tc>
          <w:tcPr>
            <w:tcW w:type="dxa" w:w="1368"/>
          </w:tcPr>
          <w:p>
            <w:pPr>
              <w:spacing w:after="0"/>
              <w:jc w:val="left"/>
            </w:pPr>
            <w:r>
              <w:rPr>
                <w:rFonts w:ascii="Calibri" w:hAnsi="Calibri"/>
                <w:b w:val="0"/>
                <w:i w:val="0"/>
                <w:color w:val="111827"/>
                <w:sz w:val="14"/>
              </w:rPr>
              <w:t>All components</w:t>
            </w:r>
          </w:p>
        </w:tc>
        <w:tc>
          <w:tcPr>
            <w:tcW w:type="dxa" w:w="892"/>
          </w:tcPr>
          <w:p>
            <w:pPr>
              <w:spacing w:after="0"/>
              <w:jc w:val="left"/>
            </w:pPr>
            <w:r>
              <w:rPr>
                <w:rFonts w:ascii="Calibri" w:hAnsi="Calibri"/>
                <w:b w:val="0"/>
                <w:i w:val="0"/>
                <w:color w:val="111827"/>
                <w:sz w:val="14"/>
              </w:rPr>
              <w:t>Sync</w:t>
            </w:r>
          </w:p>
        </w:tc>
        <w:tc>
          <w:tcPr>
            <w:tcW w:type="dxa" w:w="1800"/>
          </w:tcPr>
          <w:p>
            <w:pPr>
              <w:spacing w:after="0"/>
              <w:jc w:val="left"/>
            </w:pPr>
            <w:r>
              <w:rPr>
                <w:rFonts w:ascii="Calibri" w:hAnsi="Calibri"/>
                <w:b w:val="0"/>
                <w:i w:val="0"/>
                <w:color w:val="111827"/>
                <w:sz w:val="14"/>
              </w:rPr>
              <w:t>Capability/resource/action</w:t>
            </w:r>
          </w:p>
        </w:tc>
        <w:tc>
          <w:tcPr>
            <w:tcW w:type="dxa" w:w="1728"/>
          </w:tcPr>
          <w:p>
            <w:pPr>
              <w:spacing w:after="0"/>
              <w:jc w:val="left"/>
            </w:pPr>
            <w:r>
              <w:rPr>
                <w:rFonts w:ascii="Calibri" w:hAnsi="Calibri"/>
                <w:b w:val="0"/>
                <w:i w:val="0"/>
                <w:color w:val="111827"/>
                <w:sz w:val="14"/>
              </w:rPr>
              <w:t>Permit/deny + reason</w:t>
            </w:r>
          </w:p>
        </w:tc>
        <w:tc>
          <w:tcPr>
            <w:tcW w:type="dxa" w:w="1296"/>
          </w:tcPr>
          <w:p>
            <w:pPr>
              <w:spacing w:after="0"/>
              <w:jc w:val="left"/>
            </w:pPr>
            <w:r>
              <w:rPr>
                <w:rFonts w:ascii="Calibri" w:hAnsi="Calibri"/>
                <w:b w:val="0"/>
                <w:i w:val="0"/>
                <w:color w:val="111827"/>
                <w:sz w:val="14"/>
              </w:rPr>
              <w:t>NFR-08</w:t>
            </w:r>
          </w:p>
        </w:tc>
      </w:tr>
      <w:tr>
        <w:tc>
          <w:tcPr>
            <w:tcW w:type="dxa" w:w="691"/>
            <w:shd w:fill="F4F7FB"/>
          </w:tcPr>
          <w:p>
            <w:pPr>
              <w:spacing w:after="0"/>
              <w:jc w:val="left"/>
            </w:pPr>
            <w:r>
              <w:rPr>
                <w:rFonts w:ascii="Calibri" w:hAnsi="Calibri"/>
                <w:b/>
                <w:i w:val="0"/>
                <w:color w:val="111827"/>
                <w:sz w:val="14"/>
              </w:rPr>
              <w:t>SVC-14</w:t>
            </w:r>
          </w:p>
        </w:tc>
        <w:tc>
          <w:tcPr>
            <w:tcW w:type="dxa" w:w="1612"/>
            <w:shd w:fill="F4F7FB"/>
          </w:tcPr>
          <w:p>
            <w:pPr>
              <w:spacing w:after="0"/>
              <w:jc w:val="left"/>
            </w:pPr>
            <w:r>
              <w:rPr>
                <w:rFonts w:ascii="Calibri" w:hAnsi="Calibri"/>
                <w:b w:val="0"/>
                <w:i w:val="0"/>
                <w:color w:val="111827"/>
                <w:sz w:val="14"/>
              </w:rPr>
              <w:t>Register Artifact</w:t>
            </w:r>
          </w:p>
        </w:tc>
        <w:tc>
          <w:tcPr>
            <w:tcW w:type="dxa" w:w="1512"/>
            <w:shd w:fill="F4F7FB"/>
          </w:tcPr>
          <w:p>
            <w:pPr>
              <w:spacing w:after="0"/>
              <w:jc w:val="left"/>
            </w:pPr>
            <w:r>
              <w:rPr>
                <w:rFonts w:ascii="Calibri" w:hAnsi="Calibri"/>
                <w:b w:val="0"/>
                <w:i w:val="0"/>
                <w:color w:val="111827"/>
                <w:sz w:val="14"/>
              </w:rPr>
              <w:t>Persistence</w:t>
            </w:r>
          </w:p>
        </w:tc>
        <w:tc>
          <w:tcPr>
            <w:tcW w:type="dxa" w:w="1368"/>
            <w:shd w:fill="F4F7FB"/>
          </w:tcPr>
          <w:p>
            <w:pPr>
              <w:spacing w:after="0"/>
              <w:jc w:val="left"/>
            </w:pPr>
            <w:r>
              <w:rPr>
                <w:rFonts w:ascii="Calibri" w:hAnsi="Calibri"/>
                <w:b w:val="0"/>
                <w:i w:val="0"/>
                <w:color w:val="111827"/>
                <w:sz w:val="14"/>
              </w:rPr>
              <w:t>Workers</w:t>
            </w:r>
          </w:p>
        </w:tc>
        <w:tc>
          <w:tcPr>
            <w:tcW w:type="dxa" w:w="892"/>
            <w:shd w:fill="F4F7FB"/>
          </w:tcPr>
          <w:p>
            <w:pPr>
              <w:spacing w:after="0"/>
              <w:jc w:val="left"/>
            </w:pPr>
            <w:r>
              <w:rPr>
                <w:rFonts w:ascii="Calibri" w:hAnsi="Calibri"/>
                <w:b w:val="0"/>
                <w:i w:val="0"/>
                <w:color w:val="111827"/>
                <w:sz w:val="14"/>
              </w:rPr>
              <w:t>Sync</w:t>
            </w:r>
          </w:p>
        </w:tc>
        <w:tc>
          <w:tcPr>
            <w:tcW w:type="dxa" w:w="1800"/>
            <w:shd w:fill="F4F7FB"/>
          </w:tcPr>
          <w:p>
            <w:pPr>
              <w:spacing w:after="0"/>
              <w:jc w:val="left"/>
            </w:pPr>
            <w:r>
              <w:rPr>
                <w:rFonts w:ascii="Calibri" w:hAnsi="Calibri"/>
                <w:b w:val="0"/>
                <w:i w:val="0"/>
                <w:color w:val="111827"/>
                <w:sz w:val="14"/>
              </w:rPr>
              <w:t>URI/hash/kind/producer</w:t>
            </w:r>
          </w:p>
        </w:tc>
        <w:tc>
          <w:tcPr>
            <w:tcW w:type="dxa" w:w="1728"/>
            <w:shd w:fill="F4F7FB"/>
          </w:tcPr>
          <w:p>
            <w:pPr>
              <w:spacing w:after="0"/>
              <w:jc w:val="left"/>
            </w:pPr>
            <w:r>
              <w:rPr>
                <w:rFonts w:ascii="Calibri" w:hAnsi="Calibri"/>
                <w:b w:val="0"/>
                <w:i w:val="0"/>
                <w:color w:val="111827"/>
                <w:sz w:val="14"/>
              </w:rPr>
              <w:t>Artifact id</w:t>
            </w:r>
          </w:p>
        </w:tc>
        <w:tc>
          <w:tcPr>
            <w:tcW w:type="dxa" w:w="1296"/>
            <w:shd w:fill="F4F7FB"/>
          </w:tcPr>
          <w:p>
            <w:pPr>
              <w:spacing w:after="0"/>
              <w:jc w:val="left"/>
            </w:pPr>
            <w:r>
              <w:rPr>
                <w:rFonts w:ascii="Calibri" w:hAnsi="Calibri"/>
                <w:b w:val="0"/>
                <w:i w:val="0"/>
                <w:color w:val="111827"/>
                <w:sz w:val="14"/>
              </w:rPr>
              <w:t>FR-12, NFR-10</w:t>
            </w:r>
          </w:p>
        </w:tc>
      </w:tr>
      <w:tr>
        <w:tc>
          <w:tcPr>
            <w:tcW w:type="dxa" w:w="691"/>
          </w:tcPr>
          <w:p>
            <w:pPr>
              <w:spacing w:after="0"/>
              <w:jc w:val="left"/>
            </w:pPr>
            <w:r>
              <w:rPr>
                <w:rFonts w:ascii="Calibri" w:hAnsi="Calibri"/>
                <w:b/>
                <w:i w:val="0"/>
                <w:color w:val="111827"/>
                <w:sz w:val="14"/>
              </w:rPr>
              <w:t>SVC-15</w:t>
            </w:r>
          </w:p>
        </w:tc>
        <w:tc>
          <w:tcPr>
            <w:tcW w:type="dxa" w:w="1612"/>
          </w:tcPr>
          <w:p>
            <w:pPr>
              <w:spacing w:after="0"/>
              <w:jc w:val="left"/>
            </w:pPr>
            <w:r>
              <w:rPr>
                <w:rFonts w:ascii="Calibri" w:hAnsi="Calibri"/>
                <w:b w:val="0"/>
                <w:i w:val="0"/>
                <w:color w:val="111827"/>
                <w:sz w:val="14"/>
              </w:rPr>
              <w:t>Record Audit Event</w:t>
            </w:r>
          </w:p>
        </w:tc>
        <w:tc>
          <w:tcPr>
            <w:tcW w:type="dxa" w:w="1512"/>
          </w:tcPr>
          <w:p>
            <w:pPr>
              <w:spacing w:after="0"/>
              <w:jc w:val="left"/>
            </w:pPr>
            <w:r>
              <w:rPr>
                <w:rFonts w:ascii="Calibri" w:hAnsi="Calibri"/>
                <w:b w:val="0"/>
                <w:i w:val="0"/>
                <w:color w:val="111827"/>
                <w:sz w:val="14"/>
              </w:rPr>
              <w:t>Observability</w:t>
            </w:r>
          </w:p>
        </w:tc>
        <w:tc>
          <w:tcPr>
            <w:tcW w:type="dxa" w:w="1368"/>
          </w:tcPr>
          <w:p>
            <w:pPr>
              <w:spacing w:after="0"/>
              <w:jc w:val="left"/>
            </w:pPr>
            <w:r>
              <w:rPr>
                <w:rFonts w:ascii="Calibri" w:hAnsi="Calibri"/>
                <w:b w:val="0"/>
                <w:i w:val="0"/>
                <w:color w:val="111827"/>
                <w:sz w:val="14"/>
              </w:rPr>
              <w:t>Security-sensitive actions</w:t>
            </w:r>
          </w:p>
        </w:tc>
        <w:tc>
          <w:tcPr>
            <w:tcW w:type="dxa" w:w="892"/>
          </w:tcPr>
          <w:p>
            <w:pPr>
              <w:spacing w:after="0"/>
              <w:jc w:val="left"/>
            </w:pPr>
            <w:r>
              <w:rPr>
                <w:rFonts w:ascii="Calibri" w:hAnsi="Calibri"/>
                <w:b w:val="0"/>
                <w:i w:val="0"/>
                <w:color w:val="111827"/>
                <w:sz w:val="14"/>
              </w:rPr>
              <w:t>Sync</w:t>
            </w:r>
          </w:p>
        </w:tc>
        <w:tc>
          <w:tcPr>
            <w:tcW w:type="dxa" w:w="1800"/>
          </w:tcPr>
          <w:p>
            <w:pPr>
              <w:spacing w:after="0"/>
              <w:jc w:val="left"/>
            </w:pPr>
            <w:r>
              <w:rPr>
                <w:rFonts w:ascii="Calibri" w:hAnsi="Calibri"/>
                <w:b w:val="0"/>
                <w:i w:val="0"/>
                <w:color w:val="111827"/>
                <w:sz w:val="14"/>
              </w:rPr>
              <w:t>Service/job/action/resource/outcome</w:t>
            </w:r>
          </w:p>
        </w:tc>
        <w:tc>
          <w:tcPr>
            <w:tcW w:type="dxa" w:w="1728"/>
          </w:tcPr>
          <w:p>
            <w:pPr>
              <w:spacing w:after="0"/>
              <w:jc w:val="left"/>
            </w:pPr>
            <w:r>
              <w:rPr>
                <w:rFonts w:ascii="Calibri" w:hAnsi="Calibri"/>
                <w:b w:val="0"/>
                <w:i w:val="0"/>
                <w:color w:val="111827"/>
                <w:sz w:val="14"/>
              </w:rPr>
              <w:t>Append-only receipt without personal data</w:t>
            </w:r>
          </w:p>
        </w:tc>
        <w:tc>
          <w:tcPr>
            <w:tcW w:type="dxa" w:w="1296"/>
          </w:tcPr>
          <w:p>
            <w:pPr>
              <w:spacing w:after="0"/>
              <w:jc w:val="left"/>
            </w:pPr>
            <w:r>
              <w:rPr>
                <w:rFonts w:ascii="Calibri" w:hAnsi="Calibri"/>
                <w:b w:val="0"/>
                <w:i w:val="0"/>
                <w:color w:val="111827"/>
                <w:sz w:val="14"/>
              </w:rPr>
              <w:t>NFR-08/10</w:t>
            </w:r>
          </w:p>
        </w:tc>
      </w:tr>
      <w:tr>
        <w:tc>
          <w:tcPr>
            <w:tcW w:type="dxa" w:w="691"/>
            <w:shd w:fill="F4F7FB"/>
          </w:tcPr>
          <w:p>
            <w:pPr>
              <w:spacing w:after="0"/>
              <w:jc w:val="left"/>
            </w:pPr>
            <w:r>
              <w:rPr>
                <w:rFonts w:ascii="Calibri" w:hAnsi="Calibri"/>
                <w:b/>
                <w:i w:val="0"/>
                <w:color w:val="111827"/>
                <w:sz w:val="14"/>
              </w:rPr>
              <w:t>SVC-16</w:t>
            </w:r>
          </w:p>
        </w:tc>
        <w:tc>
          <w:tcPr>
            <w:tcW w:type="dxa" w:w="1612"/>
            <w:shd w:fill="F4F7FB"/>
          </w:tcPr>
          <w:p>
            <w:pPr>
              <w:spacing w:after="0"/>
              <w:jc w:val="left"/>
            </w:pPr>
            <w:r>
              <w:rPr>
                <w:rFonts w:ascii="Calibri" w:hAnsi="Calibri"/>
                <w:b w:val="0"/>
                <w:i w:val="0"/>
                <w:color w:val="111827"/>
                <w:sz w:val="14"/>
              </w:rPr>
              <w:t>Run Historical Comparison</w:t>
            </w:r>
          </w:p>
        </w:tc>
        <w:tc>
          <w:tcPr>
            <w:tcW w:type="dxa" w:w="1512"/>
            <w:shd w:fill="F4F7FB"/>
          </w:tcPr>
          <w:p>
            <w:pPr>
              <w:spacing w:after="0"/>
              <w:jc w:val="left"/>
            </w:pPr>
            <w:r>
              <w:rPr>
                <w:rFonts w:ascii="Calibri" w:hAnsi="Calibri"/>
                <w:b w:val="0"/>
                <w:i w:val="0"/>
                <w:color w:val="111827"/>
                <w:sz w:val="14"/>
              </w:rPr>
              <w:t>Historical Comparison</w:t>
            </w:r>
          </w:p>
        </w:tc>
        <w:tc>
          <w:tcPr>
            <w:tcW w:type="dxa" w:w="1368"/>
            <w:shd w:fill="F4F7FB"/>
          </w:tcPr>
          <w:p>
            <w:pPr>
              <w:spacing w:after="0"/>
              <w:jc w:val="left"/>
            </w:pPr>
            <w:r>
              <w:rPr>
                <w:rFonts w:ascii="Calibri" w:hAnsi="Calibri"/>
                <w:b w:val="0"/>
                <w:i w:val="0"/>
                <w:color w:val="111827"/>
                <w:sz w:val="14"/>
              </w:rPr>
              <w:t>Operator/Reporting</w:t>
            </w:r>
          </w:p>
        </w:tc>
        <w:tc>
          <w:tcPr>
            <w:tcW w:type="dxa" w:w="892"/>
            <w:shd w:fill="F4F7FB"/>
          </w:tcPr>
          <w:p>
            <w:pPr>
              <w:spacing w:after="0"/>
              <w:jc w:val="left"/>
            </w:pPr>
            <w:r>
              <w:rPr>
                <w:rFonts w:ascii="Calibri" w:hAnsi="Calibri"/>
                <w:b w:val="0"/>
                <w:i w:val="0"/>
                <w:color w:val="111827"/>
                <w:sz w:val="14"/>
              </w:rPr>
              <w:t>Async</w:t>
            </w:r>
          </w:p>
        </w:tc>
        <w:tc>
          <w:tcPr>
            <w:tcW w:type="dxa" w:w="1800"/>
            <w:shd w:fill="F4F7FB"/>
          </w:tcPr>
          <w:p>
            <w:pPr>
              <w:spacing w:after="0"/>
              <w:jc w:val="left"/>
            </w:pPr>
            <w:r>
              <w:rPr>
                <w:rFonts w:ascii="Calibri" w:hAnsi="Calibri"/>
                <w:b w:val="0"/>
                <w:i w:val="0"/>
                <w:color w:val="111827"/>
                <w:sz w:val="14"/>
              </w:rPr>
              <w:t>GHSL/GISD30 manifest + independent config</w:t>
            </w:r>
          </w:p>
        </w:tc>
        <w:tc>
          <w:tcPr>
            <w:tcW w:type="dxa" w:w="1728"/>
            <w:shd w:fill="F4F7FB"/>
          </w:tcPr>
          <w:p>
            <w:pPr>
              <w:spacing w:after="0"/>
              <w:jc w:val="left"/>
            </w:pPr>
            <w:r>
              <w:rPr>
                <w:rFonts w:ascii="Calibri" w:hAnsi="Calibri"/>
                <w:b w:val="0"/>
                <w:i w:val="0"/>
                <w:color w:val="111827"/>
                <w:sz w:val="14"/>
              </w:rPr>
              <w:t>ComparisonRun + separate result set</w:t>
            </w:r>
          </w:p>
        </w:tc>
        <w:tc>
          <w:tcPr>
            <w:tcW w:type="dxa" w:w="1296"/>
            <w:shd w:fill="F4F7FB"/>
          </w:tcPr>
          <w:p>
            <w:pPr>
              <w:spacing w:after="0"/>
              <w:jc w:val="left"/>
            </w:pPr>
            <w:r>
              <w:rPr>
                <w:rFonts w:ascii="Calibri" w:hAnsi="Calibri"/>
                <w:b w:val="0"/>
                <w:i w:val="0"/>
                <w:color w:val="111827"/>
                <w:sz w:val="14"/>
              </w:rPr>
              <w:t>FR-13</w:t>
            </w:r>
          </w:p>
        </w:tc>
      </w:tr>
    </w:tbl>
    <w:p>
      <w:pPr>
        <w:spacing w:after="20"/>
      </w:pPr>
    </w:p>
    <w:p>
      <w:pPr>
        <w:pStyle w:val="Heading2"/>
        <w:keepNext/>
      </w:pPr>
      <w:r>
        <w:t>4.1 Service contract rules</w:t>
      </w:r>
    </w:p>
    <w:p>
      <w:pPr>
        <w:pStyle w:val="ListBullet"/>
        <w:widowControl/>
        <w:spacing w:after="60"/>
      </w:pPr>
      <w:r>
        <w:rPr>
          <w:rFonts w:ascii="Calibri" w:hAnsi="Calibri"/>
          <w:b w:val="0"/>
          <w:i w:val="0"/>
          <w:color w:val="111827"/>
          <w:sz w:val="20"/>
        </w:rPr>
        <w:t>Tüm senkron servisler standart problem-details hata gövdesi, correlation id ve güvenli kullanıcı mesajı döndürür. İç exception veya secret yanıt gövdesine girmez.</w:t>
      </w:r>
    </w:p>
    <w:p>
      <w:pPr>
        <w:pStyle w:val="ListBullet"/>
        <w:widowControl/>
        <w:spacing w:after="60"/>
      </w:pPr>
      <w:r>
        <w:rPr>
          <w:rFonts w:ascii="Calibri" w:hAnsi="Calibri"/>
          <w:b w:val="0"/>
          <w:i w:val="0"/>
          <w:color w:val="111827"/>
          <w:sz w:val="20"/>
        </w:rPr>
        <w:t>Asenkron komut kabulü işin tamamlandığı anlamına gelmez. Kabul ile başarı ayrıdır; state/progress ve terminal hata kodu Job Status servisinden okunur.</w:t>
      </w:r>
    </w:p>
    <w:p>
      <w:pPr>
        <w:pStyle w:val="ListBullet"/>
        <w:widowControl/>
        <w:spacing w:after="60"/>
      </w:pPr>
      <w:r>
        <w:rPr>
          <w:rFonts w:ascii="Calibri" w:hAnsi="Calibri"/>
          <w:b w:val="0"/>
          <w:i w:val="0"/>
          <w:color w:val="111827"/>
          <w:sz w:val="20"/>
        </w:rPr>
        <w:t>Sürüm uyuşmazlığı olan event/command sessizce işlenmez. Consumer desteklemediği major sürümü dead-letter queue'ya taşır ve alarm üretir. Sözleşme ve model sürümleri Semantic Versioning 2.0.0 kurallarına göre yönetilir [29].</w:t>
      </w:r>
    </w:p>
    <w:p>
      <w:pPr>
        <w:pStyle w:val="ListBullet"/>
        <w:widowControl/>
        <w:spacing w:after="60"/>
      </w:pPr>
      <w:r>
        <w:rPr>
          <w:rFonts w:ascii="Calibri" w:hAnsi="Calibri"/>
          <w:b w:val="0"/>
          <w:i w:val="0"/>
          <w:color w:val="111827"/>
          <w:sz w:val="20"/>
        </w:rPr>
        <w:t>Artifact alan servisler içeriği URI'ya güvenerek değil, beklenen kind, media type, size limit ve checksum ile doğrular.</w:t>
      </w:r>
    </w:p>
    <w:p>
      <w:pPr>
        <w:pStyle w:val="ListBullet"/>
        <w:widowControl/>
        <w:spacing w:after="60"/>
      </w:pPr>
      <w:r>
        <w:rPr>
          <w:rFonts w:ascii="Calibri" w:hAnsi="Calibri"/>
          <w:b w:val="0"/>
          <w:i w:val="0"/>
          <w:color w:val="111827"/>
          <w:sz w:val="20"/>
        </w:rPr>
        <w:t>Saatler UTC ve ISO-8601'dir. Alanlar onaylı eş-alan CRS'de m²/km² hesaplanır; payload source CRS, analysis CRS ve grid/transform sürümünü taşır. CRS dönüşümü ISO 19111'e, kalite göstergeleri ISO 19157-1'e, metadata ISO 19115-1'e ve GeoTIFF çıktısı OGC 19-008r4'e göre doğrulanır [30]-[33]. Green area = Tree + Grass + Crops + Flooded Vegetation; green/built oranının denominatorü ve sıfır-built davranışı açıktır.</w:t>
      </w:r>
    </w:p>
    <w:p>
      <w:pPr>
        <w:pStyle w:val="ListBullet"/>
        <w:widowControl/>
        <w:spacing w:after="60"/>
      </w:pPr>
      <w:r>
        <w:rPr>
          <w:rFonts w:ascii="Calibri" w:hAnsi="Calibri"/>
          <w:b w:val="0"/>
          <w:i w:val="0"/>
          <w:color w:val="111827"/>
          <w:sz w:val="20"/>
        </w:rPr>
        <w:t>Publish komutu LSTM sonucu, hata analizi/düşük sınıf örnekleri, bulut/eksik dönem bilgisi ve zorunlu kaynak-lisans bildirimlerini şema düzeyinde ister; eksik alanla PUBLISHED geçişi yapılamaz [26]-[28].</w:t>
      </w:r>
    </w:p>
    <w:p>
      <w:pPr>
        <w:pStyle w:val="ListBullet"/>
        <w:widowControl/>
        <w:spacing w:after="60"/>
      </w:pPr>
      <w:r>
        <w:rPr>
          <w:rFonts w:ascii="Calibri" w:hAnsi="Calibri"/>
          <w:b w:val="0"/>
          <w:i w:val="0"/>
          <w:color w:val="111827"/>
          <w:sz w:val="20"/>
        </w:rPr>
        <w:t>Pagination, filtre ve export limitleri kötüye kullanım ve istemsiz büyük sorguya karşı zorunludur. Büyük dosya API üzerinden stream edilmek yerine yetkili signed URL ile aktarılır.</w:t>
      </w:r>
    </w:p>
    <w:p>
      <w:pPr>
        <w:pStyle w:val="Heading2"/>
        <w:keepNext/>
      </w:pPr>
      <w:r>
        <w:t>4.2 HLD-to-LLD traceability matrix</w:t>
      </w:r>
    </w:p>
    <w:p>
      <w:pPr>
        <w:widowControl/>
        <w:jc w:val="both"/>
      </w:pPr>
      <w:r>
        <w:rPr>
          <w:rFonts w:ascii="Calibri" w:hAnsi="Calibri"/>
          <w:b w:val="0"/>
          <w:i w:val="0"/>
          <w:color w:val="111827"/>
          <w:sz w:val="20"/>
        </w:rPr>
        <w:t>Aşağıdaki matris her gereksinimin hangi HLD alt sisteminde sahiplenildiğini ve LLD'de hangi paket/bileşen grubuna açılacağını gösterir. İzlenebilirlik yaklaşımı ISO/IEC/IEEE 29148:2018 gereksinim mühendisliği ilkeleriyle uyumludur [34]. LLD adları işlev imzası değil, planlanan yapısal hedeflerdir; isim değişirse bu matris de sürümlenmelidir.</w:t>
      </w:r>
    </w:p>
    <w:tbl>
      <w:tblPr>
        <w:tblStyle w:val="TableGrid"/>
        <w:jc w:val="left"/>
        <w:tblLook w:firstColumn="1" w:firstRow="1" w:lastColumn="0" w:lastRow="0" w:noHBand="0" w:noVBand="1" w:val="04A0"/>
        <w:tblW w:w="9475" w:type="dxa"/>
        <w:tblInd w:w="120" w:type="dxa"/>
        <w:tblLayout w:type="fixed"/>
      </w:tblPr>
      <w:tblGrid>
        <w:gridCol w:w="1368"/>
        <w:gridCol w:w="1655"/>
        <w:gridCol w:w="3816"/>
        <w:gridCol w:w="2635"/>
      </w:tblGrid>
      <w:tr>
        <w:trPr>
          <w:tblHeader w:val="true"/>
        </w:trPr>
        <w:tc>
          <w:tcPr>
            <w:tcW w:type="dxa" w:w="1368"/>
            <w:tcMar>
              <w:top w:w="72" w:type="dxa"/>
              <w:start w:w="110" w:type="dxa"/>
              <w:bottom w:w="72" w:type="dxa"/>
              <w:end w:w="110" w:type="dxa"/>
            </w:tcMar>
            <w:vAlign w:val="center"/>
            <w:shd w:fill="0C2854"/>
          </w:tcPr>
          <w:p>
            <w:pPr>
              <w:spacing w:after="0"/>
              <w:jc w:val="center"/>
            </w:pPr>
            <w:r>
              <w:rPr>
                <w:rFonts w:ascii="Calibri" w:hAnsi="Calibri"/>
                <w:b/>
                <w:i w:val="0"/>
                <w:color w:val="FFFFFF"/>
                <w:sz w:val="15"/>
              </w:rPr>
              <w:t>Requirement</w:t>
            </w:r>
          </w:p>
        </w:tc>
        <w:tc>
          <w:tcPr>
            <w:tcW w:type="dxa" w:w="1655"/>
            <w:tcMar>
              <w:top w:w="72" w:type="dxa"/>
              <w:start w:w="110" w:type="dxa"/>
              <w:bottom w:w="72" w:type="dxa"/>
              <w:end w:w="110" w:type="dxa"/>
            </w:tcMar>
            <w:vAlign w:val="center"/>
            <w:shd w:fill="0C2854"/>
          </w:tcPr>
          <w:p>
            <w:pPr>
              <w:spacing w:after="0"/>
              <w:jc w:val="center"/>
            </w:pPr>
            <w:r>
              <w:rPr>
                <w:rFonts w:ascii="Calibri" w:hAnsi="Calibri"/>
                <w:b/>
                <w:i w:val="0"/>
                <w:color w:val="FFFFFF"/>
                <w:sz w:val="15"/>
              </w:rPr>
              <w:t>HLD module</w:t>
            </w:r>
          </w:p>
        </w:tc>
        <w:tc>
          <w:tcPr>
            <w:tcW w:type="dxa" w:w="3816"/>
            <w:tcMar>
              <w:top w:w="72" w:type="dxa"/>
              <w:start w:w="110" w:type="dxa"/>
              <w:bottom w:w="72" w:type="dxa"/>
              <w:end w:w="110" w:type="dxa"/>
            </w:tcMar>
            <w:vAlign w:val="center"/>
            <w:shd w:fill="0C2854"/>
          </w:tcPr>
          <w:p>
            <w:pPr>
              <w:spacing w:after="0"/>
              <w:jc w:val="center"/>
            </w:pPr>
            <w:r>
              <w:rPr>
                <w:rFonts w:ascii="Calibri" w:hAnsi="Calibri"/>
                <w:b/>
                <w:i w:val="0"/>
                <w:color w:val="FFFFFF"/>
                <w:sz w:val="15"/>
              </w:rPr>
              <w:t>Planned LLD package/component</w:t>
            </w:r>
          </w:p>
        </w:tc>
        <w:tc>
          <w:tcPr>
            <w:tcW w:type="dxa" w:w="2635"/>
            <w:tcMar>
              <w:top w:w="72" w:type="dxa"/>
              <w:start w:w="110" w:type="dxa"/>
              <w:bottom w:w="72" w:type="dxa"/>
              <w:end w:w="110" w:type="dxa"/>
            </w:tcMar>
            <w:vAlign w:val="center"/>
            <w:shd w:fill="0C2854"/>
          </w:tcPr>
          <w:p>
            <w:pPr>
              <w:spacing w:after="0"/>
              <w:jc w:val="center"/>
            </w:pPr>
            <w:r>
              <w:rPr>
                <w:rFonts w:ascii="Calibri" w:hAnsi="Calibri"/>
                <w:b/>
                <w:i w:val="0"/>
                <w:color w:val="FFFFFF"/>
                <w:sz w:val="15"/>
              </w:rPr>
              <w:t>Trace evidence</w:t>
            </w:r>
          </w:p>
        </w:tc>
      </w:tr>
      <w:tr>
        <w:tc>
          <w:tcPr>
            <w:tcW w:type="dxa" w:w="1368"/>
          </w:tcPr>
          <w:p>
            <w:pPr>
              <w:spacing w:after="0"/>
              <w:jc w:val="left"/>
            </w:pPr>
            <w:r>
              <w:rPr>
                <w:rFonts w:ascii="Calibri" w:hAnsi="Calibri"/>
                <w:b/>
                <w:i w:val="0"/>
                <w:color w:val="111827"/>
                <w:sz w:val="15"/>
              </w:rPr>
              <w:t>FR-01</w:t>
            </w:r>
          </w:p>
        </w:tc>
        <w:tc>
          <w:tcPr>
            <w:tcW w:type="dxa" w:w="1655"/>
          </w:tcPr>
          <w:p>
            <w:pPr>
              <w:spacing w:after="0"/>
              <w:jc w:val="left"/>
            </w:pPr>
            <w:r>
              <w:rPr>
                <w:rFonts w:ascii="Calibri" w:hAnsi="Calibri"/>
                <w:b w:val="0"/>
                <w:i w:val="0"/>
                <w:color w:val="111827"/>
                <w:sz w:val="15"/>
              </w:rPr>
              <w:t>SS-01, SS-04</w:t>
            </w:r>
          </w:p>
        </w:tc>
        <w:tc>
          <w:tcPr>
            <w:tcW w:type="dxa" w:w="3816"/>
          </w:tcPr>
          <w:p>
            <w:pPr>
              <w:spacing w:after="0"/>
              <w:jc w:val="left"/>
            </w:pPr>
            <w:r>
              <w:rPr>
                <w:rFonts w:ascii="Calibri" w:hAnsi="Calibri"/>
                <w:b w:val="0"/>
                <w:i w:val="0"/>
                <w:color w:val="111827"/>
                <w:sz w:val="15"/>
              </w:rPr>
              <w:t>api.projects, acquisition.providers, domain.aoi</w:t>
            </w:r>
          </w:p>
        </w:tc>
        <w:tc>
          <w:tcPr>
            <w:tcW w:type="dxa" w:w="2635"/>
          </w:tcPr>
          <w:p>
            <w:pPr>
              <w:spacing w:after="0"/>
              <w:jc w:val="left"/>
            </w:pPr>
            <w:r>
              <w:rPr>
                <w:rFonts w:ascii="Calibri" w:hAnsi="Calibri"/>
                <w:b w:val="0"/>
                <w:i w:val="0"/>
                <w:color w:val="111827"/>
                <w:sz w:val="15"/>
              </w:rPr>
              <w:t>AOI/date → scene manifest</w:t>
            </w:r>
          </w:p>
        </w:tc>
      </w:tr>
      <w:tr>
        <w:tc>
          <w:tcPr>
            <w:tcW w:type="dxa" w:w="1368"/>
            <w:shd w:fill="F4F7FB"/>
          </w:tcPr>
          <w:p>
            <w:pPr>
              <w:spacing w:after="0"/>
              <w:jc w:val="left"/>
            </w:pPr>
            <w:r>
              <w:rPr>
                <w:rFonts w:ascii="Calibri" w:hAnsi="Calibri"/>
                <w:b/>
                <w:i w:val="0"/>
                <w:color w:val="111827"/>
                <w:sz w:val="15"/>
              </w:rPr>
              <w:t>FR-02</w:t>
            </w:r>
          </w:p>
        </w:tc>
        <w:tc>
          <w:tcPr>
            <w:tcW w:type="dxa" w:w="1655"/>
            <w:shd w:fill="F4F7FB"/>
          </w:tcPr>
          <w:p>
            <w:pPr>
              <w:spacing w:after="0"/>
              <w:jc w:val="left"/>
            </w:pPr>
            <w:r>
              <w:rPr>
                <w:rFonts w:ascii="Calibri" w:hAnsi="Calibri"/>
                <w:b w:val="0"/>
                <w:i w:val="0"/>
                <w:color w:val="111827"/>
                <w:sz w:val="15"/>
              </w:rPr>
              <w:t>SS-05</w:t>
            </w:r>
          </w:p>
        </w:tc>
        <w:tc>
          <w:tcPr>
            <w:tcW w:type="dxa" w:w="3816"/>
            <w:shd w:fill="F4F7FB"/>
          </w:tcPr>
          <w:p>
            <w:pPr>
              <w:spacing w:after="0"/>
              <w:jc w:val="left"/>
            </w:pPr>
            <w:r>
              <w:rPr>
                <w:rFonts w:ascii="Calibri" w:hAnsi="Calibri"/>
                <w:b w:val="0"/>
                <w:i w:val="0"/>
                <w:color w:val="111827"/>
                <w:sz w:val="15"/>
              </w:rPr>
              <w:t>preprocessing.cloud, grid, composite, quality</w:t>
            </w:r>
          </w:p>
        </w:tc>
        <w:tc>
          <w:tcPr>
            <w:tcW w:type="dxa" w:w="2635"/>
            <w:shd w:fill="F4F7FB"/>
          </w:tcPr>
          <w:p>
            <w:pPr>
              <w:spacing w:after="0"/>
              <w:jc w:val="left"/>
            </w:pPr>
            <w:r>
              <w:rPr>
                <w:rFonts w:ascii="Calibri" w:hAnsi="Calibri"/>
                <w:b w:val="0"/>
                <w:i w:val="0"/>
                <w:color w:val="111827"/>
                <w:sz w:val="15"/>
              </w:rPr>
              <w:t>Scenes → quality composite</w:t>
            </w:r>
          </w:p>
        </w:tc>
      </w:tr>
      <w:tr>
        <w:tc>
          <w:tcPr>
            <w:tcW w:type="dxa" w:w="1368"/>
          </w:tcPr>
          <w:p>
            <w:pPr>
              <w:spacing w:after="0"/>
              <w:jc w:val="left"/>
            </w:pPr>
            <w:r>
              <w:rPr>
                <w:rFonts w:ascii="Calibri" w:hAnsi="Calibri"/>
                <w:b/>
                <w:i w:val="0"/>
                <w:color w:val="111827"/>
                <w:sz w:val="15"/>
              </w:rPr>
              <w:t>FR-03</w:t>
            </w:r>
          </w:p>
        </w:tc>
        <w:tc>
          <w:tcPr>
            <w:tcW w:type="dxa" w:w="1655"/>
          </w:tcPr>
          <w:p>
            <w:pPr>
              <w:spacing w:after="0"/>
              <w:jc w:val="left"/>
            </w:pPr>
            <w:r>
              <w:rPr>
                <w:rFonts w:ascii="Calibri" w:hAnsi="Calibri"/>
                <w:b w:val="0"/>
                <w:i w:val="0"/>
                <w:color w:val="111827"/>
                <w:sz w:val="15"/>
              </w:rPr>
              <w:t>SS-06, SS-12</w:t>
            </w:r>
          </w:p>
        </w:tc>
        <w:tc>
          <w:tcPr>
            <w:tcW w:type="dxa" w:w="3816"/>
          </w:tcPr>
          <w:p>
            <w:pPr>
              <w:spacing w:after="0"/>
              <w:jc w:val="left"/>
            </w:pPr>
            <w:r>
              <w:rPr>
                <w:rFonts w:ascii="Calibri" w:hAnsi="Calibri"/>
                <w:b w:val="0"/>
                <w:i w:val="0"/>
                <w:color w:val="111827"/>
                <w:sz w:val="15"/>
              </w:rPr>
              <w:t>segmentation.training, model_registry</w:t>
            </w:r>
          </w:p>
        </w:tc>
        <w:tc>
          <w:tcPr>
            <w:tcW w:type="dxa" w:w="2635"/>
          </w:tcPr>
          <w:p>
            <w:pPr>
              <w:spacing w:after="0"/>
              <w:jc w:val="left"/>
            </w:pPr>
            <w:r>
              <w:rPr>
                <w:rFonts w:ascii="Calibri" w:hAnsi="Calibri"/>
                <w:b w:val="0"/>
                <w:i w:val="0"/>
                <w:color w:val="111827"/>
                <w:sz w:val="15"/>
              </w:rPr>
              <w:t>Season config → ModelVersion</w:t>
            </w:r>
          </w:p>
        </w:tc>
      </w:tr>
      <w:tr>
        <w:tc>
          <w:tcPr>
            <w:tcW w:type="dxa" w:w="1368"/>
            <w:shd w:fill="F4F7FB"/>
          </w:tcPr>
          <w:p>
            <w:pPr>
              <w:spacing w:after="0"/>
              <w:jc w:val="left"/>
            </w:pPr>
            <w:r>
              <w:rPr>
                <w:rFonts w:ascii="Calibri" w:hAnsi="Calibri"/>
                <w:b/>
                <w:i w:val="0"/>
                <w:color w:val="111827"/>
                <w:sz w:val="15"/>
              </w:rPr>
              <w:t>FR-04/05</w:t>
            </w:r>
          </w:p>
        </w:tc>
        <w:tc>
          <w:tcPr>
            <w:tcW w:type="dxa" w:w="1655"/>
            <w:shd w:fill="F4F7FB"/>
          </w:tcPr>
          <w:p>
            <w:pPr>
              <w:spacing w:after="0"/>
              <w:jc w:val="left"/>
            </w:pPr>
            <w:r>
              <w:rPr>
                <w:rFonts w:ascii="Calibri" w:hAnsi="Calibri"/>
                <w:b w:val="0"/>
                <w:i w:val="0"/>
                <w:color w:val="111827"/>
                <w:sz w:val="15"/>
              </w:rPr>
              <w:t>SS-07</w:t>
            </w:r>
          </w:p>
        </w:tc>
        <w:tc>
          <w:tcPr>
            <w:tcW w:type="dxa" w:w="3816"/>
            <w:shd w:fill="F4F7FB"/>
          </w:tcPr>
          <w:p>
            <w:pPr>
              <w:spacing w:after="0"/>
              <w:jc w:val="left"/>
            </w:pPr>
            <w:r>
              <w:rPr>
                <w:rFonts w:ascii="Calibri" w:hAnsi="Calibri"/>
                <w:b w:val="0"/>
                <w:i w:val="0"/>
                <w:color w:val="111827"/>
                <w:sz w:val="15"/>
              </w:rPr>
              <w:t>segmentation.inference, tiling</w:t>
            </w:r>
          </w:p>
        </w:tc>
        <w:tc>
          <w:tcPr>
            <w:tcW w:type="dxa" w:w="2635"/>
            <w:shd w:fill="F4F7FB"/>
          </w:tcPr>
          <w:p>
            <w:pPr>
              <w:spacing w:after="0"/>
              <w:jc w:val="left"/>
            </w:pPr>
            <w:r>
              <w:rPr>
                <w:rFonts w:ascii="Calibri" w:hAnsi="Calibri"/>
                <w:b w:val="0"/>
                <w:i w:val="0"/>
                <w:color w:val="111827"/>
                <w:sz w:val="15"/>
              </w:rPr>
              <w:t>Composite + model → map/confidence</w:t>
            </w:r>
          </w:p>
        </w:tc>
      </w:tr>
      <w:tr>
        <w:tc>
          <w:tcPr>
            <w:tcW w:type="dxa" w:w="1368"/>
          </w:tcPr>
          <w:p>
            <w:pPr>
              <w:spacing w:after="0"/>
              <w:jc w:val="left"/>
            </w:pPr>
            <w:r>
              <w:rPr>
                <w:rFonts w:ascii="Calibri" w:hAnsi="Calibri"/>
                <w:b/>
                <w:i w:val="0"/>
                <w:color w:val="111827"/>
                <w:sz w:val="15"/>
              </w:rPr>
              <w:t>FR-06</w:t>
            </w:r>
          </w:p>
        </w:tc>
        <w:tc>
          <w:tcPr>
            <w:tcW w:type="dxa" w:w="1655"/>
          </w:tcPr>
          <w:p>
            <w:pPr>
              <w:spacing w:after="0"/>
              <w:jc w:val="left"/>
            </w:pPr>
            <w:r>
              <w:rPr>
                <w:rFonts w:ascii="Calibri" w:hAnsi="Calibri"/>
                <w:b w:val="0"/>
                <w:i w:val="0"/>
                <w:color w:val="111827"/>
                <w:sz w:val="15"/>
              </w:rPr>
              <w:t>SS-05, SS-08</w:t>
            </w:r>
          </w:p>
        </w:tc>
        <w:tc>
          <w:tcPr>
            <w:tcW w:type="dxa" w:w="3816"/>
          </w:tcPr>
          <w:p>
            <w:pPr>
              <w:spacing w:after="0"/>
              <w:jc w:val="left"/>
            </w:pPr>
            <w:r>
              <w:rPr>
                <w:rFonts w:ascii="Calibri" w:hAnsi="Calibri"/>
                <w:b w:val="0"/>
                <w:i w:val="0"/>
                <w:color w:val="111827"/>
                <w:sz w:val="15"/>
              </w:rPr>
              <w:t>preprocessing.equal_area, metrics.area, timeseries.builder</w:t>
            </w:r>
          </w:p>
        </w:tc>
        <w:tc>
          <w:tcPr>
            <w:tcW w:type="dxa" w:w="2635"/>
          </w:tcPr>
          <w:p>
            <w:pPr>
              <w:spacing w:after="0"/>
              <w:jc w:val="left"/>
            </w:pPr>
            <w:r>
              <w:rPr>
                <w:rFonts w:ascii="Calibri" w:hAnsi="Calibri"/>
                <w:b w:val="0"/>
                <w:i w:val="0"/>
                <w:color w:val="111827"/>
                <w:sz w:val="15"/>
              </w:rPr>
              <w:t>Equal-area maps → exact green/built series</w:t>
            </w:r>
          </w:p>
        </w:tc>
      </w:tr>
      <w:tr>
        <w:tc>
          <w:tcPr>
            <w:tcW w:type="dxa" w:w="1368"/>
            <w:shd w:fill="F4F7FB"/>
          </w:tcPr>
          <w:p>
            <w:pPr>
              <w:spacing w:after="0"/>
              <w:jc w:val="left"/>
            </w:pPr>
            <w:r>
              <w:rPr>
                <w:rFonts w:ascii="Calibri" w:hAnsi="Calibri"/>
                <w:b/>
                <w:i w:val="0"/>
                <w:color w:val="111827"/>
                <w:sz w:val="15"/>
              </w:rPr>
              <w:t>FR-07..09</w:t>
            </w:r>
          </w:p>
        </w:tc>
        <w:tc>
          <w:tcPr>
            <w:tcW w:type="dxa" w:w="1655"/>
            <w:shd w:fill="F4F7FB"/>
          </w:tcPr>
          <w:p>
            <w:pPr>
              <w:spacing w:after="0"/>
              <w:jc w:val="left"/>
            </w:pPr>
            <w:r>
              <w:rPr>
                <w:rFonts w:ascii="Calibri" w:hAnsi="Calibri"/>
                <w:b w:val="0"/>
                <w:i w:val="0"/>
                <w:color w:val="111827"/>
                <w:sz w:val="15"/>
              </w:rPr>
              <w:t>SS-09</w:t>
            </w:r>
          </w:p>
        </w:tc>
        <w:tc>
          <w:tcPr>
            <w:tcW w:type="dxa" w:w="3816"/>
            <w:shd w:fill="F4F7FB"/>
          </w:tcPr>
          <w:p>
            <w:pPr>
              <w:spacing w:after="0"/>
              <w:jc w:val="left"/>
            </w:pPr>
            <w:r>
              <w:rPr>
                <w:rFonts w:ascii="Calibri" w:hAnsi="Calibri"/>
                <w:b w:val="0"/>
                <w:i w:val="0"/>
                <w:color w:val="111827"/>
                <w:sz w:val="15"/>
              </w:rPr>
              <w:t>forecast.baselines, forecast.lstm, horizons</w:t>
            </w:r>
          </w:p>
        </w:tc>
        <w:tc>
          <w:tcPr>
            <w:tcW w:type="dxa" w:w="2635"/>
            <w:shd w:fill="F4F7FB"/>
          </w:tcPr>
          <w:p>
            <w:pPr>
              <w:spacing w:after="0"/>
              <w:jc w:val="left"/>
            </w:pPr>
            <w:r>
              <w:rPr>
                <w:rFonts w:ascii="Calibri" w:hAnsi="Calibri"/>
                <w:b w:val="0"/>
                <w:i w:val="0"/>
                <w:color w:val="111827"/>
                <w:sz w:val="15"/>
              </w:rPr>
              <w:t>Series → 1/3/5 year forecast</w:t>
            </w:r>
          </w:p>
        </w:tc>
      </w:tr>
      <w:tr>
        <w:tc>
          <w:tcPr>
            <w:tcW w:type="dxa" w:w="1368"/>
          </w:tcPr>
          <w:p>
            <w:pPr>
              <w:spacing w:after="0"/>
              <w:jc w:val="left"/>
            </w:pPr>
            <w:r>
              <w:rPr>
                <w:rFonts w:ascii="Calibri" w:hAnsi="Calibri"/>
                <w:b/>
                <w:i w:val="0"/>
                <w:color w:val="111827"/>
                <w:sz w:val="15"/>
              </w:rPr>
              <w:t>FR-10</w:t>
            </w:r>
          </w:p>
        </w:tc>
        <w:tc>
          <w:tcPr>
            <w:tcW w:type="dxa" w:w="1655"/>
          </w:tcPr>
          <w:p>
            <w:pPr>
              <w:spacing w:after="0"/>
              <w:jc w:val="left"/>
            </w:pPr>
            <w:r>
              <w:rPr>
                <w:rFonts w:ascii="Calibri" w:hAnsi="Calibri"/>
                <w:b w:val="0"/>
                <w:i w:val="0"/>
                <w:color w:val="111827"/>
                <w:sz w:val="15"/>
              </w:rPr>
              <w:t>SS-10</w:t>
            </w:r>
          </w:p>
        </w:tc>
        <w:tc>
          <w:tcPr>
            <w:tcW w:type="dxa" w:w="3816"/>
          </w:tcPr>
          <w:p>
            <w:pPr>
              <w:spacing w:after="0"/>
              <w:jc w:val="left"/>
            </w:pPr>
            <w:r>
              <w:rPr>
                <w:rFonts w:ascii="Calibri" w:hAnsi="Calibri"/>
                <w:b w:val="0"/>
                <w:i w:val="0"/>
                <w:color w:val="111827"/>
                <w:sz w:val="15"/>
              </w:rPr>
              <w:t>evaluation.segmentation, forecast</w:t>
            </w:r>
          </w:p>
        </w:tc>
        <w:tc>
          <w:tcPr>
            <w:tcW w:type="dxa" w:w="2635"/>
          </w:tcPr>
          <w:p>
            <w:pPr>
              <w:spacing w:after="0"/>
              <w:jc w:val="left"/>
            </w:pPr>
            <w:r>
              <w:rPr>
                <w:rFonts w:ascii="Calibri" w:hAnsi="Calibri"/>
                <w:b w:val="0"/>
                <w:i w:val="0"/>
                <w:color w:val="111827"/>
                <w:sz w:val="15"/>
              </w:rPr>
              <w:t>Predictions → comparable metrics</w:t>
            </w:r>
          </w:p>
        </w:tc>
      </w:tr>
      <w:tr>
        <w:tc>
          <w:tcPr>
            <w:tcW w:type="dxa" w:w="1368"/>
            <w:shd w:fill="F4F7FB"/>
          </w:tcPr>
          <w:p>
            <w:pPr>
              <w:spacing w:after="0"/>
              <w:jc w:val="left"/>
            </w:pPr>
            <w:r>
              <w:rPr>
                <w:rFonts w:ascii="Calibri" w:hAnsi="Calibri"/>
                <w:b/>
                <w:i w:val="0"/>
                <w:color w:val="111827"/>
                <w:sz w:val="15"/>
              </w:rPr>
              <w:t>FR-11</w:t>
            </w:r>
          </w:p>
        </w:tc>
        <w:tc>
          <w:tcPr>
            <w:tcW w:type="dxa" w:w="1655"/>
            <w:shd w:fill="F4F7FB"/>
          </w:tcPr>
          <w:p>
            <w:pPr>
              <w:spacing w:after="0"/>
              <w:jc w:val="left"/>
            </w:pPr>
            <w:r>
              <w:rPr>
                <w:rFonts w:ascii="Calibri" w:hAnsi="Calibri"/>
                <w:b w:val="0"/>
                <w:i w:val="0"/>
                <w:color w:val="111827"/>
                <w:sz w:val="15"/>
              </w:rPr>
              <w:t>SS-11</w:t>
            </w:r>
          </w:p>
        </w:tc>
        <w:tc>
          <w:tcPr>
            <w:tcW w:type="dxa" w:w="3816"/>
            <w:shd w:fill="F4F7FB"/>
          </w:tcPr>
          <w:p>
            <w:pPr>
              <w:spacing w:after="0"/>
              <w:jc w:val="left"/>
            </w:pPr>
            <w:r>
              <w:rPr>
                <w:rFonts w:ascii="Calibri" w:hAnsi="Calibri"/>
                <w:b w:val="0"/>
                <w:i w:val="0"/>
                <w:color w:val="111827"/>
                <w:sz w:val="15"/>
              </w:rPr>
              <w:t>reporting.maps, charts, exports</w:t>
            </w:r>
          </w:p>
        </w:tc>
        <w:tc>
          <w:tcPr>
            <w:tcW w:type="dxa" w:w="2635"/>
            <w:shd w:fill="F4F7FB"/>
          </w:tcPr>
          <w:p>
            <w:pPr>
              <w:spacing w:after="0"/>
              <w:jc w:val="left"/>
            </w:pPr>
            <w:r>
              <w:rPr>
                <w:rFonts w:ascii="Calibri" w:hAnsi="Calibri"/>
                <w:b w:val="0"/>
                <w:i w:val="0"/>
                <w:color w:val="111827"/>
                <w:sz w:val="15"/>
              </w:rPr>
              <w:t>Results → PNG/PDF/CSV/GeoTIFF</w:t>
            </w:r>
          </w:p>
        </w:tc>
      </w:tr>
      <w:tr>
        <w:tc>
          <w:tcPr>
            <w:tcW w:type="dxa" w:w="1368"/>
          </w:tcPr>
          <w:p>
            <w:pPr>
              <w:spacing w:after="0"/>
              <w:jc w:val="left"/>
            </w:pPr>
            <w:r>
              <w:rPr>
                <w:rFonts w:ascii="Calibri" w:hAnsi="Calibri"/>
                <w:b/>
                <w:i w:val="0"/>
                <w:color w:val="111827"/>
                <w:sz w:val="15"/>
              </w:rPr>
              <w:t>FR-12</w:t>
            </w:r>
          </w:p>
        </w:tc>
        <w:tc>
          <w:tcPr>
            <w:tcW w:type="dxa" w:w="1655"/>
          </w:tcPr>
          <w:p>
            <w:pPr>
              <w:spacing w:after="0"/>
              <w:jc w:val="left"/>
            </w:pPr>
            <w:r>
              <w:rPr>
                <w:rFonts w:ascii="Calibri" w:hAnsi="Calibri"/>
                <w:b w:val="0"/>
                <w:i w:val="0"/>
                <w:color w:val="111827"/>
                <w:sz w:val="15"/>
              </w:rPr>
              <w:t>SS-03, SS-12</w:t>
            </w:r>
          </w:p>
        </w:tc>
        <w:tc>
          <w:tcPr>
            <w:tcW w:type="dxa" w:w="3816"/>
          </w:tcPr>
          <w:p>
            <w:pPr>
              <w:spacing w:after="0"/>
              <w:jc w:val="left"/>
            </w:pPr>
            <w:r>
              <w:rPr>
                <w:rFonts w:ascii="Calibri" w:hAnsi="Calibri"/>
                <w:b w:val="0"/>
                <w:i w:val="0"/>
                <w:color w:val="111827"/>
                <w:sz w:val="15"/>
              </w:rPr>
              <w:t>jobs.state, provenance, artifacts</w:t>
            </w:r>
          </w:p>
        </w:tc>
        <w:tc>
          <w:tcPr>
            <w:tcW w:type="dxa" w:w="2635"/>
          </w:tcPr>
          <w:p>
            <w:pPr>
              <w:spacing w:after="0"/>
              <w:jc w:val="left"/>
            </w:pPr>
            <w:r>
              <w:rPr>
                <w:rFonts w:ascii="Calibri" w:hAnsi="Calibri"/>
                <w:b w:val="0"/>
                <w:i w:val="0"/>
                <w:color w:val="111827"/>
                <w:sz w:val="15"/>
              </w:rPr>
              <w:t>Config/data/code hashes logged</w:t>
            </w:r>
          </w:p>
        </w:tc>
      </w:tr>
      <w:tr>
        <w:tc>
          <w:tcPr>
            <w:tcW w:type="dxa" w:w="1368"/>
            <w:shd w:fill="F4F7FB"/>
          </w:tcPr>
          <w:p>
            <w:pPr>
              <w:spacing w:after="0"/>
              <w:jc w:val="left"/>
            </w:pPr>
            <w:r>
              <w:rPr>
                <w:rFonts w:ascii="Calibri" w:hAnsi="Calibri"/>
                <w:b/>
                <w:i w:val="0"/>
                <w:color w:val="111827"/>
                <w:sz w:val="15"/>
              </w:rPr>
              <w:t>FR-13</w:t>
            </w:r>
          </w:p>
        </w:tc>
        <w:tc>
          <w:tcPr>
            <w:tcW w:type="dxa" w:w="1655"/>
            <w:shd w:fill="F4F7FB"/>
          </w:tcPr>
          <w:p>
            <w:pPr>
              <w:spacing w:after="0"/>
              <w:jc w:val="left"/>
            </w:pPr>
            <w:r>
              <w:rPr>
                <w:rFonts w:ascii="Calibri" w:hAnsi="Calibri"/>
                <w:b w:val="0"/>
                <w:i w:val="0"/>
                <w:color w:val="111827"/>
                <w:sz w:val="15"/>
              </w:rPr>
              <w:t>SS-14</w:t>
            </w:r>
          </w:p>
        </w:tc>
        <w:tc>
          <w:tcPr>
            <w:tcW w:type="dxa" w:w="3816"/>
            <w:shd w:fill="F4F7FB"/>
          </w:tcPr>
          <w:p>
            <w:pPr>
              <w:spacing w:after="0"/>
              <w:jc w:val="left"/>
            </w:pPr>
            <w:r>
              <w:rPr>
                <w:rFonts w:ascii="Calibri" w:hAnsi="Calibri"/>
                <w:b w:val="0"/>
                <w:i w:val="0"/>
                <w:color w:val="111827"/>
                <w:sz w:val="15"/>
              </w:rPr>
              <w:t>comparison.ghsl, comparison.gisd30, result_namespace</w:t>
            </w:r>
          </w:p>
        </w:tc>
        <w:tc>
          <w:tcPr>
            <w:tcW w:type="dxa" w:w="2635"/>
            <w:shd w:fill="F4F7FB"/>
          </w:tcPr>
          <w:p>
            <w:pPr>
              <w:spacing w:after="0"/>
              <w:jc w:val="left"/>
            </w:pPr>
            <w:r>
              <w:rPr>
                <w:rFonts w:ascii="Calibri" w:hAnsi="Calibri"/>
                <w:b w:val="0"/>
                <w:i w:val="0"/>
                <w:color w:val="111827"/>
                <w:sz w:val="15"/>
              </w:rPr>
              <w:t>Independent ComparisonRun; no primary-series merge</w:t>
            </w:r>
          </w:p>
        </w:tc>
      </w:tr>
      <w:tr>
        <w:tc>
          <w:tcPr>
            <w:tcW w:type="dxa" w:w="1368"/>
          </w:tcPr>
          <w:p>
            <w:pPr>
              <w:spacing w:after="0"/>
              <w:jc w:val="left"/>
            </w:pPr>
            <w:r>
              <w:rPr>
                <w:rFonts w:ascii="Calibri" w:hAnsi="Calibri"/>
                <w:b/>
                <w:i w:val="0"/>
                <w:color w:val="111827"/>
                <w:sz w:val="15"/>
              </w:rPr>
              <w:t>FR-14/15</w:t>
            </w:r>
          </w:p>
        </w:tc>
        <w:tc>
          <w:tcPr>
            <w:tcW w:type="dxa" w:w="1655"/>
          </w:tcPr>
          <w:p>
            <w:pPr>
              <w:spacing w:after="0"/>
              <w:jc w:val="left"/>
            </w:pPr>
            <w:r>
              <w:rPr>
                <w:rFonts w:ascii="Calibri" w:hAnsi="Calibri"/>
                <w:b w:val="0"/>
                <w:i w:val="0"/>
                <w:color w:val="111827"/>
                <w:sz w:val="15"/>
              </w:rPr>
              <w:t>SS-10, SS-11</w:t>
            </w:r>
          </w:p>
        </w:tc>
        <w:tc>
          <w:tcPr>
            <w:tcW w:type="dxa" w:w="3816"/>
          </w:tcPr>
          <w:p>
            <w:pPr>
              <w:spacing w:after="0"/>
              <w:jc w:val="left"/>
            </w:pPr>
            <w:r>
              <w:rPr>
                <w:rFonts w:ascii="Calibri" w:hAnsi="Calibri"/>
                <w:b w:val="0"/>
                <w:i w:val="0"/>
                <w:color w:val="111827"/>
                <w:sz w:val="15"/>
              </w:rPr>
              <w:t>quality.policy, reporting.disclaimer</w:t>
            </w:r>
          </w:p>
        </w:tc>
        <w:tc>
          <w:tcPr>
            <w:tcW w:type="dxa" w:w="2635"/>
          </w:tcPr>
          <w:p>
            <w:pPr>
              <w:spacing w:after="0"/>
              <w:jc w:val="left"/>
            </w:pPr>
            <w:r>
              <w:rPr>
                <w:rFonts w:ascii="Calibri" w:hAnsi="Calibri"/>
                <w:b w:val="0"/>
                <w:i w:val="0"/>
                <w:color w:val="111827"/>
                <w:sz w:val="15"/>
              </w:rPr>
              <w:t>Publication gate</w:t>
            </w:r>
          </w:p>
        </w:tc>
      </w:tr>
      <w:tr>
        <w:tc>
          <w:tcPr>
            <w:tcW w:type="dxa" w:w="1368"/>
            <w:shd w:fill="F4F7FB"/>
          </w:tcPr>
          <w:p>
            <w:pPr>
              <w:spacing w:after="0"/>
              <w:jc w:val="left"/>
            </w:pPr>
            <w:r>
              <w:rPr>
                <w:rFonts w:ascii="Calibri" w:hAnsi="Calibri"/>
                <w:b/>
                <w:i w:val="0"/>
                <w:color w:val="111827"/>
                <w:sz w:val="15"/>
              </w:rPr>
              <w:t>NFR-01/02</w:t>
            </w:r>
          </w:p>
        </w:tc>
        <w:tc>
          <w:tcPr>
            <w:tcW w:type="dxa" w:w="1655"/>
            <w:shd w:fill="F4F7FB"/>
          </w:tcPr>
          <w:p>
            <w:pPr>
              <w:spacing w:after="0"/>
              <w:jc w:val="left"/>
            </w:pPr>
            <w:r>
              <w:rPr>
                <w:rFonts w:ascii="Calibri" w:hAnsi="Calibri"/>
                <w:b w:val="0"/>
                <w:i w:val="0"/>
                <w:color w:val="111827"/>
                <w:sz w:val="15"/>
              </w:rPr>
              <w:t>SS-10</w:t>
            </w:r>
          </w:p>
        </w:tc>
        <w:tc>
          <w:tcPr>
            <w:tcW w:type="dxa" w:w="3816"/>
            <w:shd w:fill="F4F7FB"/>
          </w:tcPr>
          <w:p>
            <w:pPr>
              <w:spacing w:after="0"/>
              <w:jc w:val="left"/>
            </w:pPr>
            <w:r>
              <w:rPr>
                <w:rFonts w:ascii="Calibri" w:hAnsi="Calibri"/>
                <w:b w:val="0"/>
                <w:i w:val="0"/>
                <w:color w:val="111827"/>
                <w:sz w:val="15"/>
              </w:rPr>
              <w:t>evaluation.thresholds, promotion_policy</w:t>
            </w:r>
          </w:p>
        </w:tc>
        <w:tc>
          <w:tcPr>
            <w:tcW w:type="dxa" w:w="2635"/>
            <w:shd w:fill="F4F7FB"/>
          </w:tcPr>
          <w:p>
            <w:pPr>
              <w:spacing w:after="0"/>
              <w:jc w:val="left"/>
            </w:pPr>
            <w:r>
              <w:rPr>
                <w:rFonts w:ascii="Calibri" w:hAnsi="Calibri"/>
                <w:b w:val="0"/>
                <w:i w:val="0"/>
                <w:color w:val="111827"/>
                <w:sz w:val="15"/>
              </w:rPr>
              <w:t>Metric gates</w:t>
            </w:r>
          </w:p>
        </w:tc>
      </w:tr>
      <w:tr>
        <w:tc>
          <w:tcPr>
            <w:tcW w:type="dxa" w:w="1368"/>
          </w:tcPr>
          <w:p>
            <w:pPr>
              <w:spacing w:after="0"/>
              <w:jc w:val="left"/>
            </w:pPr>
            <w:r>
              <w:rPr>
                <w:rFonts w:ascii="Calibri" w:hAnsi="Calibri"/>
                <w:b/>
                <w:i w:val="0"/>
                <w:color w:val="111827"/>
                <w:sz w:val="15"/>
              </w:rPr>
              <w:t>NFR-03/04</w:t>
            </w:r>
          </w:p>
        </w:tc>
        <w:tc>
          <w:tcPr>
            <w:tcW w:type="dxa" w:w="1655"/>
          </w:tcPr>
          <w:p>
            <w:pPr>
              <w:spacing w:after="0"/>
              <w:jc w:val="left"/>
            </w:pPr>
            <w:r>
              <w:rPr>
                <w:rFonts w:ascii="Calibri" w:hAnsi="Calibri"/>
                <w:b w:val="0"/>
                <w:i w:val="0"/>
                <w:color w:val="111827"/>
                <w:sz w:val="15"/>
              </w:rPr>
              <w:t>SS-03, SS-05/07/13</w:t>
            </w:r>
          </w:p>
        </w:tc>
        <w:tc>
          <w:tcPr>
            <w:tcW w:type="dxa" w:w="3816"/>
          </w:tcPr>
          <w:p>
            <w:pPr>
              <w:spacing w:after="0"/>
              <w:jc w:val="left"/>
            </w:pPr>
            <w:r>
              <w:rPr>
                <w:rFonts w:ascii="Calibri" w:hAnsi="Calibri"/>
                <w:b w:val="0"/>
                <w:i w:val="0"/>
                <w:color w:val="111827"/>
                <w:sz w:val="15"/>
              </w:rPr>
              <w:t>jobs.scheduler, performance_gate, resource_profiles</w:t>
            </w:r>
          </w:p>
        </w:tc>
        <w:tc>
          <w:tcPr>
            <w:tcW w:type="dxa" w:w="2635"/>
          </w:tcPr>
          <w:p>
            <w:pPr>
              <w:spacing w:after="0"/>
              <w:jc w:val="left"/>
            </w:pPr>
            <w:r>
              <w:rPr>
                <w:rFonts w:ascii="Calibri" w:hAnsi="Calibri"/>
                <w:b w:val="0"/>
                <w:i w:val="0"/>
                <w:color w:val="111827"/>
                <w:sz w:val="15"/>
              </w:rPr>
              <w:t>Ankara preprocessing+inference &lt;8 h; VRAM ≤16 GB</w:t>
            </w:r>
          </w:p>
        </w:tc>
      </w:tr>
      <w:tr>
        <w:tc>
          <w:tcPr>
            <w:tcW w:type="dxa" w:w="1368"/>
            <w:shd w:fill="F4F7FB"/>
          </w:tcPr>
          <w:p>
            <w:pPr>
              <w:spacing w:after="0"/>
              <w:jc w:val="left"/>
            </w:pPr>
            <w:r>
              <w:rPr>
                <w:rFonts w:ascii="Calibri" w:hAnsi="Calibri"/>
                <w:b/>
                <w:i w:val="0"/>
                <w:color w:val="111827"/>
                <w:sz w:val="15"/>
              </w:rPr>
              <w:t>NFR-05</w:t>
            </w:r>
          </w:p>
        </w:tc>
        <w:tc>
          <w:tcPr>
            <w:tcW w:type="dxa" w:w="1655"/>
            <w:shd w:fill="F4F7FB"/>
          </w:tcPr>
          <w:p>
            <w:pPr>
              <w:spacing w:after="0"/>
              <w:jc w:val="left"/>
            </w:pPr>
            <w:r>
              <w:rPr>
                <w:rFonts w:ascii="Calibri" w:hAnsi="Calibri"/>
                <w:b w:val="0"/>
                <w:i w:val="0"/>
                <w:color w:val="111827"/>
                <w:sz w:val="15"/>
              </w:rPr>
              <w:t>SS-12</w:t>
            </w:r>
          </w:p>
        </w:tc>
        <w:tc>
          <w:tcPr>
            <w:tcW w:type="dxa" w:w="3816"/>
            <w:shd w:fill="F4F7FB"/>
          </w:tcPr>
          <w:p>
            <w:pPr>
              <w:spacing w:after="0"/>
              <w:jc w:val="left"/>
            </w:pPr>
            <w:r>
              <w:rPr>
                <w:rFonts w:ascii="Calibri" w:hAnsi="Calibri"/>
                <w:b w:val="0"/>
                <w:i w:val="0"/>
                <w:color w:val="111827"/>
                <w:sz w:val="15"/>
              </w:rPr>
              <w:t>manifests, config, reproducibility</w:t>
            </w:r>
          </w:p>
        </w:tc>
        <w:tc>
          <w:tcPr>
            <w:tcW w:type="dxa" w:w="2635"/>
            <w:shd w:fill="F4F7FB"/>
          </w:tcPr>
          <w:p>
            <w:pPr>
              <w:spacing w:after="0"/>
              <w:jc w:val="left"/>
            </w:pPr>
            <w:r>
              <w:rPr>
                <w:rFonts w:ascii="Calibri" w:hAnsi="Calibri"/>
                <w:b w:val="0"/>
                <w:i w:val="0"/>
                <w:color w:val="111827"/>
                <w:sz w:val="15"/>
              </w:rPr>
              <w:t>Repeat difference ≤0.01</w:t>
            </w:r>
          </w:p>
        </w:tc>
      </w:tr>
      <w:tr>
        <w:tc>
          <w:tcPr>
            <w:tcW w:type="dxa" w:w="1368"/>
          </w:tcPr>
          <w:p>
            <w:pPr>
              <w:spacing w:after="0"/>
              <w:jc w:val="left"/>
            </w:pPr>
            <w:r>
              <w:rPr>
                <w:rFonts w:ascii="Calibri" w:hAnsi="Calibri"/>
                <w:b/>
                <w:i w:val="0"/>
                <w:color w:val="111827"/>
                <w:sz w:val="15"/>
              </w:rPr>
              <w:t>NFR-06</w:t>
            </w:r>
          </w:p>
        </w:tc>
        <w:tc>
          <w:tcPr>
            <w:tcW w:type="dxa" w:w="1655"/>
          </w:tcPr>
          <w:p>
            <w:pPr>
              <w:spacing w:after="0"/>
              <w:jc w:val="left"/>
            </w:pPr>
            <w:r>
              <w:rPr>
                <w:rFonts w:ascii="Calibri" w:hAnsi="Calibri"/>
                <w:b w:val="0"/>
                <w:i w:val="0"/>
                <w:color w:val="111827"/>
                <w:sz w:val="15"/>
              </w:rPr>
              <w:t>SS-05, SS-03</w:t>
            </w:r>
          </w:p>
        </w:tc>
        <w:tc>
          <w:tcPr>
            <w:tcW w:type="dxa" w:w="3816"/>
          </w:tcPr>
          <w:p>
            <w:pPr>
              <w:spacing w:after="0"/>
              <w:jc w:val="left"/>
            </w:pPr>
            <w:r>
              <w:rPr>
                <w:rFonts w:ascii="Calibri" w:hAnsi="Calibri"/>
                <w:b w:val="0"/>
                <w:i w:val="0"/>
                <w:color w:val="111827"/>
                <w:sz w:val="15"/>
              </w:rPr>
              <w:t>quality.flags, retry.policy</w:t>
            </w:r>
          </w:p>
        </w:tc>
        <w:tc>
          <w:tcPr>
            <w:tcW w:type="dxa" w:w="2635"/>
          </w:tcPr>
          <w:p>
            <w:pPr>
              <w:spacing w:after="0"/>
              <w:jc w:val="left"/>
            </w:pPr>
            <w:r>
              <w:rPr>
                <w:rFonts w:ascii="Calibri" w:hAnsi="Calibri"/>
                <w:b w:val="0"/>
                <w:i w:val="0"/>
                <w:color w:val="111827"/>
                <w:sz w:val="15"/>
              </w:rPr>
              <w:t>Missing period test</w:t>
            </w:r>
          </w:p>
        </w:tc>
      </w:tr>
      <w:tr>
        <w:tc>
          <w:tcPr>
            <w:tcW w:type="dxa" w:w="1368"/>
            <w:shd w:fill="F4F7FB"/>
          </w:tcPr>
          <w:p>
            <w:pPr>
              <w:spacing w:after="0"/>
              <w:jc w:val="left"/>
            </w:pPr>
            <w:r>
              <w:rPr>
                <w:rFonts w:ascii="Calibri" w:hAnsi="Calibri"/>
                <w:b/>
                <w:i w:val="0"/>
                <w:color w:val="111827"/>
                <w:sz w:val="15"/>
              </w:rPr>
              <w:t>NFR-07</w:t>
            </w:r>
          </w:p>
        </w:tc>
        <w:tc>
          <w:tcPr>
            <w:tcW w:type="dxa" w:w="1655"/>
            <w:shd w:fill="F4F7FB"/>
          </w:tcPr>
          <w:p>
            <w:pPr>
              <w:spacing w:after="0"/>
              <w:jc w:val="left"/>
            </w:pPr>
            <w:r>
              <w:rPr>
                <w:rFonts w:ascii="Calibri" w:hAnsi="Calibri"/>
                <w:b w:val="0"/>
                <w:i w:val="0"/>
                <w:color w:val="111827"/>
                <w:sz w:val="15"/>
              </w:rPr>
              <w:t>SS-01, SS-11</w:t>
            </w:r>
          </w:p>
        </w:tc>
        <w:tc>
          <w:tcPr>
            <w:tcW w:type="dxa" w:w="3816"/>
            <w:shd w:fill="F4F7FB"/>
          </w:tcPr>
          <w:p>
            <w:pPr>
              <w:spacing w:after="0"/>
              <w:jc w:val="left"/>
            </w:pPr>
            <w:r>
              <w:rPr>
                <w:rFonts w:ascii="Calibri" w:hAnsi="Calibri"/>
                <w:b w:val="0"/>
                <w:i w:val="0"/>
                <w:color w:val="111827"/>
                <w:sz w:val="15"/>
              </w:rPr>
              <w:t>web.workflow, docs</w:t>
            </w:r>
          </w:p>
        </w:tc>
        <w:tc>
          <w:tcPr>
            <w:tcW w:type="dxa" w:w="2635"/>
            <w:shd w:fill="F4F7FB"/>
          </w:tcPr>
          <w:p>
            <w:pPr>
              <w:spacing w:after="0"/>
              <w:jc w:val="left"/>
            </w:pPr>
            <w:r>
              <w:rPr>
                <w:rFonts w:ascii="Calibri" w:hAnsi="Calibri"/>
                <w:b w:val="0"/>
                <w:i w:val="0"/>
                <w:color w:val="111827"/>
                <w:sz w:val="15"/>
              </w:rPr>
              <w:t>Clean-environment Ankara run</w:t>
            </w:r>
          </w:p>
        </w:tc>
      </w:tr>
      <w:tr>
        <w:tc>
          <w:tcPr>
            <w:tcW w:type="dxa" w:w="1368"/>
          </w:tcPr>
          <w:p>
            <w:pPr>
              <w:spacing w:after="0"/>
              <w:jc w:val="left"/>
            </w:pPr>
            <w:r>
              <w:rPr>
                <w:rFonts w:ascii="Calibri" w:hAnsi="Calibri"/>
                <w:b/>
                <w:i w:val="0"/>
                <w:color w:val="111827"/>
                <w:sz w:val="15"/>
              </w:rPr>
              <w:t>NFR-08</w:t>
            </w:r>
          </w:p>
        </w:tc>
        <w:tc>
          <w:tcPr>
            <w:tcW w:type="dxa" w:w="1655"/>
          </w:tcPr>
          <w:p>
            <w:pPr>
              <w:spacing w:after="0"/>
              <w:jc w:val="left"/>
            </w:pPr>
            <w:r>
              <w:rPr>
                <w:rFonts w:ascii="Calibri" w:hAnsi="Calibri"/>
                <w:b w:val="0"/>
                <w:i w:val="0"/>
                <w:color w:val="111827"/>
                <w:sz w:val="15"/>
              </w:rPr>
              <w:t>SS-02, SS-13</w:t>
            </w:r>
          </w:p>
        </w:tc>
        <w:tc>
          <w:tcPr>
            <w:tcW w:type="dxa" w:w="3816"/>
          </w:tcPr>
          <w:p>
            <w:pPr>
              <w:spacing w:after="0"/>
              <w:jc w:val="left"/>
            </w:pPr>
            <w:r>
              <w:rPr>
                <w:rFonts w:ascii="Calibri" w:hAnsi="Calibri"/>
                <w:b w:val="0"/>
                <w:i w:val="0"/>
                <w:color w:val="111827"/>
                <w:sz w:val="15"/>
              </w:rPr>
              <w:t>security.access_gate, capability, audit</w:t>
            </w:r>
          </w:p>
        </w:tc>
        <w:tc>
          <w:tcPr>
            <w:tcW w:type="dxa" w:w="2635"/>
          </w:tcPr>
          <w:p>
            <w:pPr>
              <w:spacing w:after="0"/>
              <w:jc w:val="left"/>
            </w:pPr>
            <w:r>
              <w:rPr>
                <w:rFonts w:ascii="Calibri" w:hAnsi="Calibri"/>
                <w:b w:val="0"/>
                <w:i w:val="0"/>
                <w:color w:val="111827"/>
                <w:sz w:val="15"/>
              </w:rPr>
              <w:t>No-personal-data + authorization audit</w:t>
            </w:r>
          </w:p>
        </w:tc>
      </w:tr>
      <w:tr>
        <w:tc>
          <w:tcPr>
            <w:tcW w:type="dxa" w:w="1368"/>
            <w:shd w:fill="F4F7FB"/>
          </w:tcPr>
          <w:p>
            <w:pPr>
              <w:spacing w:after="0"/>
              <w:jc w:val="left"/>
            </w:pPr>
            <w:r>
              <w:rPr>
                <w:rFonts w:ascii="Calibri" w:hAnsi="Calibri"/>
                <w:b/>
                <w:i w:val="0"/>
                <w:color w:val="111827"/>
                <w:sz w:val="15"/>
              </w:rPr>
              <w:t>NFR-09</w:t>
            </w:r>
          </w:p>
        </w:tc>
        <w:tc>
          <w:tcPr>
            <w:tcW w:type="dxa" w:w="1655"/>
            <w:shd w:fill="F4F7FB"/>
          </w:tcPr>
          <w:p>
            <w:pPr>
              <w:spacing w:after="0"/>
              <w:jc w:val="left"/>
            </w:pPr>
            <w:r>
              <w:rPr>
                <w:rFonts w:ascii="Calibri" w:hAnsi="Calibri"/>
                <w:b w:val="0"/>
                <w:i w:val="0"/>
                <w:color w:val="111827"/>
                <w:sz w:val="15"/>
              </w:rPr>
              <w:t>All</w:t>
            </w:r>
          </w:p>
        </w:tc>
        <w:tc>
          <w:tcPr>
            <w:tcW w:type="dxa" w:w="3816"/>
            <w:shd w:fill="F4F7FB"/>
          </w:tcPr>
          <w:p>
            <w:pPr>
              <w:spacing w:after="0"/>
              <w:jc w:val="left"/>
            </w:pPr>
            <w:r>
              <w:rPr>
                <w:rFonts w:ascii="Calibri" w:hAnsi="Calibri"/>
                <w:b w:val="0"/>
                <w:i w:val="0"/>
                <w:color w:val="111827"/>
                <w:sz w:val="15"/>
              </w:rPr>
              <w:t>package boundaries + contract tests</w:t>
            </w:r>
          </w:p>
        </w:tc>
        <w:tc>
          <w:tcPr>
            <w:tcW w:type="dxa" w:w="2635"/>
            <w:shd w:fill="F4F7FB"/>
          </w:tcPr>
          <w:p>
            <w:pPr>
              <w:spacing w:after="0"/>
              <w:jc w:val="left"/>
            </w:pPr>
            <w:r>
              <w:rPr>
                <w:rFonts w:ascii="Calibri" w:hAnsi="Calibri"/>
                <w:b w:val="0"/>
                <w:i w:val="0"/>
                <w:color w:val="111827"/>
                <w:sz w:val="15"/>
              </w:rPr>
              <w:t>Dependency and unit tests</w:t>
            </w:r>
          </w:p>
        </w:tc>
      </w:tr>
      <w:tr>
        <w:tc>
          <w:tcPr>
            <w:tcW w:type="dxa" w:w="1368"/>
          </w:tcPr>
          <w:p>
            <w:pPr>
              <w:spacing w:after="0"/>
              <w:jc w:val="left"/>
            </w:pPr>
            <w:r>
              <w:rPr>
                <w:rFonts w:ascii="Calibri" w:hAnsi="Calibri"/>
                <w:b/>
                <w:i w:val="0"/>
                <w:color w:val="111827"/>
                <w:sz w:val="15"/>
              </w:rPr>
              <w:t>NFR-10</w:t>
            </w:r>
          </w:p>
        </w:tc>
        <w:tc>
          <w:tcPr>
            <w:tcW w:type="dxa" w:w="1655"/>
          </w:tcPr>
          <w:p>
            <w:pPr>
              <w:spacing w:after="0"/>
              <w:jc w:val="left"/>
            </w:pPr>
            <w:r>
              <w:rPr>
                <w:rFonts w:ascii="Calibri" w:hAnsi="Calibri"/>
                <w:b w:val="0"/>
                <w:i w:val="0"/>
                <w:color w:val="111827"/>
                <w:sz w:val="15"/>
              </w:rPr>
              <w:t>SS-11, SS-12</w:t>
            </w:r>
          </w:p>
        </w:tc>
        <w:tc>
          <w:tcPr>
            <w:tcW w:type="dxa" w:w="3816"/>
          </w:tcPr>
          <w:p>
            <w:pPr>
              <w:spacing w:after="0"/>
              <w:jc w:val="left"/>
            </w:pPr>
            <w:r>
              <w:rPr>
                <w:rFonts w:ascii="Calibri" w:hAnsi="Calibri"/>
                <w:b w:val="0"/>
                <w:i w:val="0"/>
                <w:color w:val="111827"/>
                <w:sz w:val="15"/>
              </w:rPr>
              <w:t>provenance.manifest, report metadata</w:t>
            </w:r>
          </w:p>
        </w:tc>
        <w:tc>
          <w:tcPr>
            <w:tcW w:type="dxa" w:w="2635"/>
          </w:tcPr>
          <w:p>
            <w:pPr>
              <w:spacing w:after="0"/>
              <w:jc w:val="left"/>
            </w:pPr>
            <w:r>
              <w:rPr>
                <w:rFonts w:ascii="Calibri" w:hAnsi="Calibri"/>
                <w:b w:val="0"/>
                <w:i w:val="0"/>
                <w:color w:val="111827"/>
                <w:sz w:val="15"/>
              </w:rPr>
              <w:t>Every output carries source/model/horizon</w:t>
            </w:r>
          </w:p>
        </w:tc>
      </w:tr>
    </w:tbl>
    <w:p>
      <w:pPr>
        <w:spacing w:after="20"/>
      </w:pPr>
    </w:p>
    <w:p>
      <w:pPr>
        <w:pStyle w:val="Heading2"/>
        <w:keepNext/>
      </w:pPr>
      <w:r>
        <w:t>4.3 Acceptance and integration strategy</w:t>
      </w:r>
    </w:p>
    <w:p>
      <w:pPr>
        <w:widowControl/>
        <w:jc w:val="both"/>
      </w:pPr>
      <w:r>
        <w:rPr>
          <w:rFonts w:ascii="Calibri" w:hAnsi="Calibri"/>
          <w:b w:val="0"/>
          <w:i w:val="0"/>
          <w:color w:val="111827"/>
          <w:sz w:val="20"/>
        </w:rPr>
        <w:t>Bileşen kabulü yalnız unit test ile yapılmaz. Test planı, test durumu belirtimleri ve test tamamlama raporu ISO/IEC/IEEE 29119-3:2021'e göre sürümlenir [35]. Contract testleri command/event şemasını, repository entegrasyon testleri transaction ve idempotency kurallarını doğrular. Geospatial golden test, bilinen bir geometrinin eş-alan CRS dönüşümü sonrası m²/km² sonucunu tolerans içinde doğrular ve source/analysis CRS ile grid sürümünü kontrol eder [30]-[33]. GHSL/GISD30 artifactinin primary seri veya ForecastRun'a bağlanması negatif testte reddedilir. Worker failure testleri retry/checkpoint davranışını doğrular.</w:t>
      </w:r>
    </w:p>
    <w:p>
      <w:pPr>
        <w:widowControl/>
        <w:jc w:val="both"/>
      </w:pPr>
      <w:r>
        <w:rPr>
          <w:rFonts w:ascii="Calibri" w:hAnsi="Calibri"/>
          <w:b w:val="0"/>
          <w:i w:val="0"/>
          <w:color w:val="111827"/>
          <w:sz w:val="20"/>
        </w:rPr>
        <w:t>Gerçek Ankara acceptance run'ında ön işleme + inference tek GPU/iş istasyonunda 8 saatten kısa ve en fazla 16 GB VRAM ile tamamlanmalıdır. LSTM başarısızsa baseline çıktısı yalnız tanısal kalır ve yayın testi başarısız olur. Bilimsel kabul; sınıf dağılımı, confusion matrix, per-class metric, düşük performanslı sınıflar, hata örnekleri, baseline comparison, bulut/eksik dönem ve belirsizliği inceler. Publish contract testi SSL4EO CC BY 4.0 [10], [26], Copernicus yıl bildirimi [27], GEE akademik/non-commercial beyanı [28] ve karar-destek uyarısı olmadan PUBLISHED geçişini reddeder.</w:t>
      </w:r>
    </w:p>
    <w:p>
      <w:pPr>
        <w:widowControl/>
        <w:jc w:val="both"/>
      </w:pPr>
      <w:r>
        <w:rPr>
          <w:rFonts w:ascii="Calibri" w:hAnsi="Calibri"/>
          <w:b w:val="0"/>
          <w:i w:val="0"/>
          <w:color w:val="111827"/>
          <w:sz w:val="20"/>
        </w:rPr>
        <w:t>Güvenlik kabulünde yetkisiz proje okuma/yazma, capability kapsamı ve süresi, signed URL, ZIP traversal/decompression bomb, SSRF, log secret/subject/IP sızıntısı ve privilege escalation negatif testleri yer alır. Felaket kurtarma kabulünde temiz host restore'u, DB-object checksum eşleşmesi ve queued iş reconciliation gösterilir.</w:t>
      </w:r>
    </w:p>
    <w:p>
      <w:pPr>
        <w:pStyle w:val="Heading1"/>
        <w:keepNext/>
      </w:pPr>
      <w:r>
        <w:t>5. Glossary</w:t>
      </w:r>
    </w:p>
    <w:tbl>
      <w:tblPr>
        <w:tblStyle w:val="TableGrid"/>
        <w:jc w:val="left"/>
        <w:tblLook w:firstColumn="1" w:firstRow="1" w:lastColumn="0" w:lastRow="0" w:noHBand="0" w:noVBand="1" w:val="04A0"/>
        <w:tblW w:w="9475" w:type="dxa"/>
        <w:tblInd w:w="120" w:type="dxa"/>
        <w:tblLayout w:type="fixed"/>
      </w:tblPr>
      <w:tblGrid>
        <w:gridCol w:w="2232"/>
        <w:gridCol w:w="7243"/>
      </w:tblGrid>
      <w:tr>
        <w:trPr>
          <w:tblHeader w:val="true"/>
        </w:trPr>
        <w:tc>
          <w:tcPr>
            <w:tcW w:type="dxa" w:w="2232"/>
            <w:tcMar>
              <w:top w:w="72" w:type="dxa"/>
              <w:start w:w="110" w:type="dxa"/>
              <w:bottom w:w="72" w:type="dxa"/>
              <w:end w:w="110" w:type="dxa"/>
            </w:tcMar>
            <w:vAlign w:val="center"/>
            <w:shd w:fill="0C2854"/>
          </w:tcPr>
          <w:p>
            <w:pPr>
              <w:spacing w:after="0"/>
              <w:jc w:val="center"/>
            </w:pPr>
            <w:r>
              <w:rPr>
                <w:rFonts w:ascii="Calibri" w:hAnsi="Calibri"/>
                <w:b/>
                <w:i w:val="0"/>
                <w:color w:val="FFFFFF"/>
                <w:sz w:val="17"/>
              </w:rPr>
              <w:t>Terim</w:t>
            </w:r>
          </w:p>
        </w:tc>
        <w:tc>
          <w:tcPr>
            <w:tcW w:type="dxa" w:w="7243"/>
            <w:tcMar>
              <w:top w:w="72" w:type="dxa"/>
              <w:start w:w="110" w:type="dxa"/>
              <w:bottom w:w="72" w:type="dxa"/>
              <w:end w:w="110" w:type="dxa"/>
            </w:tcMar>
            <w:vAlign w:val="center"/>
            <w:shd w:fill="0C2854"/>
          </w:tcPr>
          <w:p>
            <w:pPr>
              <w:spacing w:after="0"/>
              <w:jc w:val="center"/>
            </w:pPr>
            <w:r>
              <w:rPr>
                <w:rFonts w:ascii="Calibri" w:hAnsi="Calibri"/>
                <w:b/>
                <w:i w:val="0"/>
                <w:color w:val="FFFFFF"/>
                <w:sz w:val="17"/>
              </w:rPr>
              <w:t>Tanım</w:t>
            </w:r>
          </w:p>
        </w:tc>
      </w:tr>
      <w:tr>
        <w:tc>
          <w:tcPr>
            <w:tcW w:type="dxa" w:w="2232"/>
          </w:tcPr>
          <w:p>
            <w:pPr>
              <w:spacing w:after="0"/>
              <w:jc w:val="left"/>
            </w:pPr>
            <w:r>
              <w:rPr>
                <w:rFonts w:ascii="Calibri" w:hAnsi="Calibri"/>
                <w:b/>
                <w:i w:val="0"/>
                <w:color w:val="111827"/>
                <w:sz w:val="17"/>
              </w:rPr>
              <w:t>Artifact</w:t>
            </w:r>
          </w:p>
        </w:tc>
        <w:tc>
          <w:tcPr>
            <w:tcW w:type="dxa" w:w="7243"/>
          </w:tcPr>
          <w:p>
            <w:pPr>
              <w:spacing w:after="0"/>
              <w:jc w:val="left"/>
            </w:pPr>
            <w:r>
              <w:rPr>
                <w:rFonts w:ascii="Calibri" w:hAnsi="Calibri"/>
                <w:b w:val="0"/>
                <w:i w:val="0"/>
                <w:color w:val="111827"/>
                <w:sz w:val="17"/>
              </w:rPr>
              <w:t>Veri, model veya rapor gibi büyük/değişmez çıktı; object storage'da, metadata ve checksum DB'de.</w:t>
            </w:r>
          </w:p>
        </w:tc>
      </w:tr>
      <w:tr>
        <w:tc>
          <w:tcPr>
            <w:tcW w:type="dxa" w:w="2232"/>
            <w:shd w:fill="F4F7FB"/>
          </w:tcPr>
          <w:p>
            <w:pPr>
              <w:spacing w:after="0"/>
              <w:jc w:val="left"/>
            </w:pPr>
            <w:r>
              <w:rPr>
                <w:rFonts w:ascii="Calibri" w:hAnsi="Calibri"/>
                <w:b/>
                <w:i w:val="0"/>
                <w:color w:val="111827"/>
                <w:sz w:val="17"/>
              </w:rPr>
              <w:t>AOI</w:t>
            </w:r>
          </w:p>
        </w:tc>
        <w:tc>
          <w:tcPr>
            <w:tcW w:type="dxa" w:w="7243"/>
            <w:shd w:fill="F4F7FB"/>
          </w:tcPr>
          <w:p>
            <w:pPr>
              <w:spacing w:after="0"/>
              <w:jc w:val="left"/>
            </w:pPr>
            <w:r>
              <w:rPr>
                <w:rFonts w:ascii="Calibri" w:hAnsi="Calibri"/>
                <w:b w:val="0"/>
                <w:i w:val="0"/>
                <w:color w:val="111827"/>
                <w:sz w:val="17"/>
              </w:rPr>
              <w:t>Area of Interest; analiz edilen coğrafi sınır. Geometry sürümü tüm türetilmiş çıktılara bağlanır.</w:t>
            </w:r>
          </w:p>
        </w:tc>
      </w:tr>
      <w:tr>
        <w:tc>
          <w:tcPr>
            <w:tcW w:type="dxa" w:w="2232"/>
          </w:tcPr>
          <w:p>
            <w:pPr>
              <w:spacing w:after="0"/>
              <w:jc w:val="left"/>
            </w:pPr>
            <w:r>
              <w:rPr>
                <w:rFonts w:ascii="Calibri" w:hAnsi="Calibri"/>
                <w:b/>
                <w:i w:val="0"/>
                <w:color w:val="111827"/>
                <w:sz w:val="17"/>
              </w:rPr>
              <w:t>Baseline</w:t>
            </w:r>
          </w:p>
        </w:tc>
        <w:tc>
          <w:tcPr>
            <w:tcW w:type="dxa" w:w="7243"/>
          </w:tcPr>
          <w:p>
            <w:pPr>
              <w:spacing w:after="0"/>
              <w:jc w:val="left"/>
            </w:pPr>
            <w:r>
              <w:rPr>
                <w:rFonts w:ascii="Calibri" w:hAnsi="Calibri"/>
                <w:b w:val="0"/>
                <w:i w:val="0"/>
                <w:color w:val="111827"/>
                <w:sz w:val="17"/>
              </w:rPr>
              <w:t>Öğrenen modelin kıyaslandığı no-change veya linear trend gibi naif tahmin.</w:t>
            </w:r>
          </w:p>
        </w:tc>
      </w:tr>
      <w:tr>
        <w:tc>
          <w:tcPr>
            <w:tcW w:type="dxa" w:w="2232"/>
            <w:shd w:fill="F4F7FB"/>
          </w:tcPr>
          <w:p>
            <w:pPr>
              <w:spacing w:after="0"/>
              <w:jc w:val="left"/>
            </w:pPr>
            <w:r>
              <w:rPr>
                <w:rFonts w:ascii="Calibri" w:hAnsi="Calibri"/>
                <w:b/>
                <w:i w:val="0"/>
                <w:color w:val="111827"/>
                <w:sz w:val="17"/>
              </w:rPr>
              <w:t>Circuit breaker</w:t>
            </w:r>
          </w:p>
        </w:tc>
        <w:tc>
          <w:tcPr>
            <w:tcW w:type="dxa" w:w="7243"/>
            <w:shd w:fill="F4F7FB"/>
          </w:tcPr>
          <w:p>
            <w:pPr>
              <w:spacing w:after="0"/>
              <w:jc w:val="left"/>
            </w:pPr>
            <w:r>
              <w:rPr>
                <w:rFonts w:ascii="Calibri" w:hAnsi="Calibri"/>
                <w:b w:val="0"/>
                <w:i w:val="0"/>
                <w:color w:val="111827"/>
                <w:sz w:val="17"/>
              </w:rPr>
              <w:t>Sürekli hata veren dış servise çağrıyı geçici keserek kaynak tüketimini sınırlayan kontrol.</w:t>
            </w:r>
          </w:p>
        </w:tc>
      </w:tr>
      <w:tr>
        <w:tc>
          <w:tcPr>
            <w:tcW w:type="dxa" w:w="2232"/>
          </w:tcPr>
          <w:p>
            <w:pPr>
              <w:spacing w:after="0"/>
              <w:jc w:val="left"/>
            </w:pPr>
            <w:r>
              <w:rPr>
                <w:rFonts w:ascii="Calibri" w:hAnsi="Calibri"/>
                <w:b/>
                <w:i w:val="0"/>
                <w:color w:val="111827"/>
                <w:sz w:val="17"/>
              </w:rPr>
              <w:t>Composite</w:t>
            </w:r>
          </w:p>
        </w:tc>
        <w:tc>
          <w:tcPr>
            <w:tcW w:type="dxa" w:w="7243"/>
          </w:tcPr>
          <w:p>
            <w:pPr>
              <w:spacing w:after="0"/>
              <w:jc w:val="left"/>
            </w:pPr>
            <w:r>
              <w:rPr>
                <w:rFonts w:ascii="Calibri" w:hAnsi="Calibri"/>
                <w:b w:val="0"/>
                <w:i w:val="0"/>
                <w:color w:val="111827"/>
                <w:sz w:val="17"/>
              </w:rPr>
              <w:t>Aynı yıl/mevsimde bulut maskelenmiş, hizalanmış sahnelerden oluşturulan raster.</w:t>
            </w:r>
          </w:p>
        </w:tc>
      </w:tr>
      <w:tr>
        <w:tc>
          <w:tcPr>
            <w:tcW w:type="dxa" w:w="2232"/>
            <w:shd w:fill="F4F7FB"/>
          </w:tcPr>
          <w:p>
            <w:pPr>
              <w:spacing w:after="0"/>
              <w:jc w:val="left"/>
            </w:pPr>
            <w:r>
              <w:rPr>
                <w:rFonts w:ascii="Calibri" w:hAnsi="Calibri"/>
                <w:b/>
                <w:i w:val="0"/>
                <w:color w:val="111827"/>
                <w:sz w:val="17"/>
              </w:rPr>
              <w:t>Correlation ID</w:t>
            </w:r>
          </w:p>
        </w:tc>
        <w:tc>
          <w:tcPr>
            <w:tcW w:type="dxa" w:w="7243"/>
            <w:shd w:fill="F4F7FB"/>
          </w:tcPr>
          <w:p>
            <w:pPr>
              <w:spacing w:after="0"/>
              <w:jc w:val="left"/>
            </w:pPr>
            <w:r>
              <w:rPr>
                <w:rFonts w:ascii="Calibri" w:hAnsi="Calibri"/>
                <w:b w:val="0"/>
                <w:i w:val="0"/>
                <w:color w:val="111827"/>
                <w:sz w:val="17"/>
              </w:rPr>
              <w:t>Bir kullanıcı isteğini servis ve worker loglarında uçtan uca ilişkilendiren kimlik.</w:t>
            </w:r>
          </w:p>
        </w:tc>
      </w:tr>
      <w:tr>
        <w:tc>
          <w:tcPr>
            <w:tcW w:type="dxa" w:w="2232"/>
          </w:tcPr>
          <w:p>
            <w:pPr>
              <w:spacing w:after="0"/>
              <w:jc w:val="left"/>
            </w:pPr>
            <w:r>
              <w:rPr>
                <w:rFonts w:ascii="Calibri" w:hAnsi="Calibri"/>
                <w:b/>
                <w:i w:val="0"/>
                <w:color w:val="111827"/>
                <w:sz w:val="17"/>
              </w:rPr>
              <w:t>Diagnostic draft</w:t>
            </w:r>
          </w:p>
        </w:tc>
        <w:tc>
          <w:tcPr>
            <w:tcW w:type="dxa" w:w="7243"/>
          </w:tcPr>
          <w:p>
            <w:pPr>
              <w:spacing w:after="0"/>
              <w:jc w:val="left"/>
            </w:pPr>
            <w:r>
              <w:rPr>
                <w:rFonts w:ascii="Calibri" w:hAnsi="Calibri"/>
                <w:b w:val="0"/>
                <w:i w:val="0"/>
                <w:color w:val="111827"/>
                <w:sz w:val="17"/>
              </w:rPr>
              <w:t>LSTM çalışmadığında baseline sonuçlarını inceleme için saklayan, PUBLISHED olamayan tanısal çıktı.</w:t>
            </w:r>
          </w:p>
        </w:tc>
      </w:tr>
      <w:tr>
        <w:tc>
          <w:tcPr>
            <w:tcW w:type="dxa" w:w="2232"/>
            <w:shd w:fill="F4F7FB"/>
          </w:tcPr>
          <w:p>
            <w:pPr>
              <w:spacing w:after="0"/>
              <w:jc w:val="left"/>
            </w:pPr>
            <w:r>
              <w:rPr>
                <w:rFonts w:ascii="Calibri" w:hAnsi="Calibri"/>
                <w:b/>
                <w:i w:val="0"/>
                <w:color w:val="111827"/>
                <w:sz w:val="17"/>
              </w:rPr>
              <w:t>Equal-area CRS</w:t>
            </w:r>
          </w:p>
        </w:tc>
        <w:tc>
          <w:tcPr>
            <w:tcW w:type="dxa" w:w="7243"/>
            <w:shd w:fill="F4F7FB"/>
          </w:tcPr>
          <w:p>
            <w:pPr>
              <w:spacing w:after="0"/>
              <w:jc w:val="left"/>
            </w:pPr>
            <w:r>
              <w:rPr>
                <w:rFonts w:ascii="Calibri" w:hAnsi="Calibri"/>
                <w:b w:val="0"/>
                <w:i w:val="0"/>
                <w:color w:val="111827"/>
                <w:sz w:val="17"/>
              </w:rPr>
              <w:t>Alanı koruyan koordinat sistemi; tüm m²/km² hesapları AOI'ye uygun bu analiz CRS'sinde yapılır.</w:t>
            </w:r>
          </w:p>
        </w:tc>
      </w:tr>
      <w:tr>
        <w:tc>
          <w:tcPr>
            <w:tcW w:type="dxa" w:w="2232"/>
          </w:tcPr>
          <w:p>
            <w:pPr>
              <w:spacing w:after="0"/>
              <w:jc w:val="left"/>
            </w:pPr>
            <w:r>
              <w:rPr>
                <w:rFonts w:ascii="Calibri" w:hAnsi="Calibri"/>
                <w:b/>
                <w:i w:val="0"/>
                <w:color w:val="111827"/>
                <w:sz w:val="17"/>
              </w:rPr>
              <w:t>Green area</w:t>
            </w:r>
          </w:p>
        </w:tc>
        <w:tc>
          <w:tcPr>
            <w:tcW w:type="dxa" w:w="7243"/>
          </w:tcPr>
          <w:p>
            <w:pPr>
              <w:spacing w:after="0"/>
              <w:jc w:val="left"/>
            </w:pPr>
            <w:r>
              <w:rPr>
                <w:rFonts w:ascii="Calibri" w:hAnsi="Calibri"/>
                <w:b w:val="0"/>
                <w:i w:val="0"/>
                <w:color w:val="111827"/>
                <w:sz w:val="17"/>
              </w:rPr>
              <w:t>Tree + Grass + Crops + Flooded Vegetation sınıflarının eş-alan CRS'deki toplam alanı.</w:t>
            </w:r>
          </w:p>
        </w:tc>
      </w:tr>
      <w:tr>
        <w:tc>
          <w:tcPr>
            <w:tcW w:type="dxa" w:w="2232"/>
            <w:shd w:fill="F4F7FB"/>
          </w:tcPr>
          <w:p>
            <w:pPr>
              <w:spacing w:after="0"/>
              <w:jc w:val="left"/>
            </w:pPr>
            <w:r>
              <w:rPr>
                <w:rFonts w:ascii="Calibri" w:hAnsi="Calibri"/>
                <w:b/>
                <w:i w:val="0"/>
                <w:color w:val="111827"/>
                <w:sz w:val="17"/>
              </w:rPr>
              <w:t>Idempotency</w:t>
            </w:r>
          </w:p>
        </w:tc>
        <w:tc>
          <w:tcPr>
            <w:tcW w:type="dxa" w:w="7243"/>
            <w:shd w:fill="F4F7FB"/>
          </w:tcPr>
          <w:p>
            <w:pPr>
              <w:spacing w:after="0"/>
              <w:jc w:val="left"/>
            </w:pPr>
            <w:r>
              <w:rPr>
                <w:rFonts w:ascii="Calibri" w:hAnsi="Calibri"/>
                <w:b w:val="0"/>
                <w:i w:val="0"/>
                <w:color w:val="111827"/>
                <w:sz w:val="17"/>
              </w:rPr>
              <w:t>Aynı komutun tekrar uygulanmasının duplicate kalıcı sonuç üretmemesi özelliği.</w:t>
            </w:r>
          </w:p>
        </w:tc>
      </w:tr>
      <w:tr>
        <w:tc>
          <w:tcPr>
            <w:tcW w:type="dxa" w:w="2232"/>
          </w:tcPr>
          <w:p>
            <w:pPr>
              <w:spacing w:after="0"/>
              <w:jc w:val="left"/>
            </w:pPr>
            <w:r>
              <w:rPr>
                <w:rFonts w:ascii="Calibri" w:hAnsi="Calibri"/>
                <w:b/>
                <w:i w:val="0"/>
                <w:color w:val="111827"/>
                <w:sz w:val="17"/>
              </w:rPr>
              <w:t>IoU</w:t>
            </w:r>
          </w:p>
        </w:tc>
        <w:tc>
          <w:tcPr>
            <w:tcW w:type="dxa" w:w="7243"/>
          </w:tcPr>
          <w:p>
            <w:pPr>
              <w:spacing w:after="0"/>
              <w:jc w:val="left"/>
            </w:pPr>
            <w:r>
              <w:rPr>
                <w:rFonts w:ascii="Calibri" w:hAnsi="Calibri"/>
                <w:b w:val="0"/>
                <w:i w:val="0"/>
                <w:color w:val="111827"/>
                <w:sz w:val="17"/>
              </w:rPr>
              <w:t>Intersection over Union; tahmin ve gerçek sınıf alanının kesişim/birleşim oranı.</w:t>
            </w:r>
          </w:p>
        </w:tc>
      </w:tr>
      <w:tr>
        <w:tc>
          <w:tcPr>
            <w:tcW w:type="dxa" w:w="2232"/>
            <w:shd w:fill="F4F7FB"/>
          </w:tcPr>
          <w:p>
            <w:pPr>
              <w:spacing w:after="0"/>
              <w:jc w:val="left"/>
            </w:pPr>
            <w:r>
              <w:rPr>
                <w:rFonts w:ascii="Calibri" w:hAnsi="Calibri"/>
                <w:b/>
                <w:i w:val="0"/>
                <w:color w:val="111827"/>
                <w:sz w:val="17"/>
              </w:rPr>
              <w:t>Job lease</w:t>
            </w:r>
          </w:p>
        </w:tc>
        <w:tc>
          <w:tcPr>
            <w:tcW w:type="dxa" w:w="7243"/>
            <w:shd w:fill="F4F7FB"/>
          </w:tcPr>
          <w:p>
            <w:pPr>
              <w:spacing w:after="0"/>
              <w:jc w:val="left"/>
            </w:pPr>
            <w:r>
              <w:rPr>
                <w:rFonts w:ascii="Calibri" w:hAnsi="Calibri"/>
                <w:b w:val="0"/>
                <w:i w:val="0"/>
                <w:color w:val="111827"/>
                <w:sz w:val="17"/>
              </w:rPr>
              <w:t>Bir workerın belirli süre için işi yürütme hakkı; heartbeat kesilince geri alınabilir.</w:t>
            </w:r>
          </w:p>
        </w:tc>
      </w:tr>
      <w:tr>
        <w:tc>
          <w:tcPr>
            <w:tcW w:type="dxa" w:w="2232"/>
          </w:tcPr>
          <w:p>
            <w:pPr>
              <w:spacing w:after="0"/>
              <w:jc w:val="left"/>
            </w:pPr>
            <w:r>
              <w:rPr>
                <w:rFonts w:ascii="Calibri" w:hAnsi="Calibri"/>
                <w:b/>
                <w:i w:val="0"/>
                <w:color w:val="111827"/>
                <w:sz w:val="17"/>
              </w:rPr>
              <w:t>LULC</w:t>
            </w:r>
          </w:p>
        </w:tc>
        <w:tc>
          <w:tcPr>
            <w:tcW w:type="dxa" w:w="7243"/>
          </w:tcPr>
          <w:p>
            <w:pPr>
              <w:spacing w:after="0"/>
              <w:jc w:val="left"/>
            </w:pPr>
            <w:r>
              <w:rPr>
                <w:rFonts w:ascii="Calibri" w:hAnsi="Calibri"/>
                <w:b w:val="0"/>
                <w:i w:val="0"/>
                <w:color w:val="111827"/>
                <w:sz w:val="17"/>
              </w:rPr>
              <w:t>Land Use / Land Cover; bu projede dokuz arazi örtüsü sınıfı.</w:t>
            </w:r>
          </w:p>
        </w:tc>
      </w:tr>
      <w:tr>
        <w:tc>
          <w:tcPr>
            <w:tcW w:type="dxa" w:w="2232"/>
            <w:shd w:fill="F4F7FB"/>
          </w:tcPr>
          <w:p>
            <w:pPr>
              <w:spacing w:after="0"/>
              <w:jc w:val="left"/>
            </w:pPr>
            <w:r>
              <w:rPr>
                <w:rFonts w:ascii="Calibri" w:hAnsi="Calibri"/>
                <w:b/>
                <w:i w:val="0"/>
                <w:color w:val="111827"/>
                <w:sz w:val="17"/>
              </w:rPr>
              <w:t>Macro-F1</w:t>
            </w:r>
          </w:p>
        </w:tc>
        <w:tc>
          <w:tcPr>
            <w:tcW w:type="dxa" w:w="7243"/>
            <w:shd w:fill="F4F7FB"/>
          </w:tcPr>
          <w:p>
            <w:pPr>
              <w:spacing w:after="0"/>
              <w:jc w:val="left"/>
            </w:pPr>
            <w:r>
              <w:rPr>
                <w:rFonts w:ascii="Calibri" w:hAnsi="Calibri"/>
                <w:b w:val="0"/>
                <w:i w:val="0"/>
                <w:color w:val="111827"/>
                <w:sz w:val="17"/>
              </w:rPr>
              <w:t>Sınıf F1 değerlerinin eşit ağırlıklı ortalaması; dengesiz sınıflarda ana segmentasyon metriği.</w:t>
            </w:r>
          </w:p>
        </w:tc>
      </w:tr>
      <w:tr>
        <w:tc>
          <w:tcPr>
            <w:tcW w:type="dxa" w:w="2232"/>
          </w:tcPr>
          <w:p>
            <w:pPr>
              <w:spacing w:after="0"/>
              <w:jc w:val="left"/>
            </w:pPr>
            <w:r>
              <w:rPr>
                <w:rFonts w:ascii="Calibri" w:hAnsi="Calibri"/>
                <w:b/>
                <w:i w:val="0"/>
                <w:color w:val="111827"/>
                <w:sz w:val="17"/>
              </w:rPr>
              <w:t>Model registry</w:t>
            </w:r>
          </w:p>
        </w:tc>
        <w:tc>
          <w:tcPr>
            <w:tcW w:type="dxa" w:w="7243"/>
          </w:tcPr>
          <w:p>
            <w:pPr>
              <w:spacing w:after="0"/>
              <w:jc w:val="left"/>
            </w:pPr>
            <w:r>
              <w:rPr>
                <w:rFonts w:ascii="Calibri" w:hAnsi="Calibri"/>
                <w:b w:val="0"/>
                <w:i w:val="0"/>
                <w:color w:val="111827"/>
                <w:sz w:val="17"/>
              </w:rPr>
              <w:t>Model sürümü, config/data/code kökeni, metrik ve promotion durumlarının yetkili kaydı.</w:t>
            </w:r>
          </w:p>
        </w:tc>
      </w:tr>
      <w:tr>
        <w:tc>
          <w:tcPr>
            <w:tcW w:type="dxa" w:w="2232"/>
            <w:shd w:fill="F4F7FB"/>
          </w:tcPr>
          <w:p>
            <w:pPr>
              <w:spacing w:after="0"/>
              <w:jc w:val="left"/>
            </w:pPr>
            <w:r>
              <w:rPr>
                <w:rFonts w:ascii="Calibri" w:hAnsi="Calibri"/>
                <w:b/>
                <w:i w:val="0"/>
                <w:color w:val="111827"/>
                <w:sz w:val="17"/>
              </w:rPr>
              <w:t>Object storage</w:t>
            </w:r>
          </w:p>
        </w:tc>
        <w:tc>
          <w:tcPr>
            <w:tcW w:type="dxa" w:w="7243"/>
            <w:shd w:fill="F4F7FB"/>
          </w:tcPr>
          <w:p>
            <w:pPr>
              <w:spacing w:after="0"/>
              <w:jc w:val="left"/>
            </w:pPr>
            <w:r>
              <w:rPr>
                <w:rFonts w:ascii="Calibri" w:hAnsi="Calibri"/>
                <w:b w:val="0"/>
                <w:i w:val="0"/>
                <w:color w:val="111827"/>
                <w:sz w:val="17"/>
              </w:rPr>
              <w:t>GeoTIFF, Zarr, checkpoint ve rapor gibi büyük nesneler için URI tabanlı depolama.</w:t>
            </w:r>
          </w:p>
        </w:tc>
      </w:tr>
      <w:tr>
        <w:tc>
          <w:tcPr>
            <w:tcW w:type="dxa" w:w="2232"/>
          </w:tcPr>
          <w:p>
            <w:pPr>
              <w:spacing w:after="0"/>
              <w:jc w:val="left"/>
            </w:pPr>
            <w:r>
              <w:rPr>
                <w:rFonts w:ascii="Calibri" w:hAnsi="Calibri"/>
                <w:b/>
                <w:i w:val="0"/>
                <w:color w:val="111827"/>
                <w:sz w:val="17"/>
              </w:rPr>
              <w:t>PITR</w:t>
            </w:r>
          </w:p>
        </w:tc>
        <w:tc>
          <w:tcPr>
            <w:tcW w:type="dxa" w:w="7243"/>
          </w:tcPr>
          <w:p>
            <w:pPr>
              <w:spacing w:after="0"/>
              <w:jc w:val="left"/>
            </w:pPr>
            <w:r>
              <w:rPr>
                <w:rFonts w:ascii="Calibri" w:hAnsi="Calibri"/>
                <w:b w:val="0"/>
                <w:i w:val="0"/>
                <w:color w:val="111827"/>
                <w:sz w:val="17"/>
              </w:rPr>
              <w:t>Base backup ve WAL arşiviyle veritabanını seçilen zamana geri döndürme.</w:t>
            </w:r>
          </w:p>
        </w:tc>
      </w:tr>
      <w:tr>
        <w:tc>
          <w:tcPr>
            <w:tcW w:type="dxa" w:w="2232"/>
            <w:shd w:fill="F4F7FB"/>
          </w:tcPr>
          <w:p>
            <w:pPr>
              <w:spacing w:after="0"/>
              <w:jc w:val="left"/>
            </w:pPr>
            <w:r>
              <w:rPr>
                <w:rFonts w:ascii="Calibri" w:hAnsi="Calibri"/>
                <w:b/>
                <w:i w:val="0"/>
                <w:color w:val="111827"/>
                <w:sz w:val="17"/>
              </w:rPr>
              <w:t>Provenance</w:t>
            </w:r>
          </w:p>
        </w:tc>
        <w:tc>
          <w:tcPr>
            <w:tcW w:type="dxa" w:w="7243"/>
            <w:shd w:fill="F4F7FB"/>
          </w:tcPr>
          <w:p>
            <w:pPr>
              <w:spacing w:after="0"/>
              <w:jc w:val="left"/>
            </w:pPr>
            <w:r>
              <w:rPr>
                <w:rFonts w:ascii="Calibri" w:hAnsi="Calibri"/>
                <w:b w:val="0"/>
                <w:i w:val="0"/>
                <w:color w:val="111827"/>
                <w:sz w:val="17"/>
              </w:rPr>
              <w:t>Bir çıktının kaynak veri, dönüşüm, model, config, kod ve üreten işe uzanan köken zinciri.</w:t>
            </w:r>
          </w:p>
        </w:tc>
      </w:tr>
      <w:tr>
        <w:tc>
          <w:tcPr>
            <w:tcW w:type="dxa" w:w="2232"/>
          </w:tcPr>
          <w:p>
            <w:pPr>
              <w:spacing w:after="0"/>
              <w:jc w:val="left"/>
            </w:pPr>
            <w:r>
              <w:rPr>
                <w:rFonts w:ascii="Calibri" w:hAnsi="Calibri"/>
                <w:b/>
                <w:i w:val="0"/>
                <w:color w:val="111827"/>
                <w:sz w:val="17"/>
              </w:rPr>
              <w:t>Quality flag</w:t>
            </w:r>
          </w:p>
        </w:tc>
        <w:tc>
          <w:tcPr>
            <w:tcW w:type="dxa" w:w="7243"/>
          </w:tcPr>
          <w:p>
            <w:pPr>
              <w:spacing w:after="0"/>
              <w:jc w:val="left"/>
            </w:pPr>
            <w:r>
              <w:rPr>
                <w:rFonts w:ascii="Calibri" w:hAnsi="Calibri"/>
                <w:b w:val="0"/>
                <w:i w:val="0"/>
                <w:color w:val="111827"/>
                <w:sz w:val="17"/>
              </w:rPr>
              <w:t>OK, LOW_CONFIDENCE veya MISSING ile veri/çıktı güven durumunu taşıyan işaret.</w:t>
            </w:r>
          </w:p>
        </w:tc>
      </w:tr>
      <w:tr>
        <w:tc>
          <w:tcPr>
            <w:tcW w:type="dxa" w:w="2232"/>
            <w:shd w:fill="F4F7FB"/>
          </w:tcPr>
          <w:p>
            <w:pPr>
              <w:spacing w:after="0"/>
              <w:jc w:val="left"/>
            </w:pPr>
            <w:r>
              <w:rPr>
                <w:rFonts w:ascii="Calibri" w:hAnsi="Calibri"/>
                <w:b/>
                <w:i w:val="0"/>
                <w:color w:val="111827"/>
                <w:sz w:val="17"/>
              </w:rPr>
              <w:t>Capability</w:t>
            </w:r>
          </w:p>
        </w:tc>
        <w:tc>
          <w:tcPr>
            <w:tcW w:type="dxa" w:w="7243"/>
            <w:shd w:fill="F4F7FB"/>
          </w:tcPr>
          <w:p>
            <w:pPr>
              <w:spacing w:after="0"/>
              <w:jc w:val="left"/>
            </w:pPr>
            <w:r>
              <w:rPr>
                <w:rFonts w:ascii="Calibri" w:hAnsi="Calibri"/>
                <w:b w:val="0"/>
                <w:i w:val="0"/>
                <w:color w:val="111827"/>
                <w:sz w:val="17"/>
              </w:rPr>
              <w:t>Kişiyi tanımlayan profil tutmadan belirli proje/job ve işlemlere izin veren kısa ömürlü teknik yetki.</w:t>
            </w:r>
          </w:p>
        </w:tc>
      </w:tr>
      <w:tr>
        <w:tc>
          <w:tcPr>
            <w:tcW w:type="dxa" w:w="2232"/>
          </w:tcPr>
          <w:p>
            <w:pPr>
              <w:spacing w:after="0"/>
              <w:jc w:val="left"/>
            </w:pPr>
            <w:r>
              <w:rPr>
                <w:rFonts w:ascii="Calibri" w:hAnsi="Calibri"/>
                <w:b/>
                <w:i w:val="0"/>
                <w:color w:val="111827"/>
                <w:sz w:val="17"/>
              </w:rPr>
              <w:t>RPO/RTO</w:t>
            </w:r>
          </w:p>
        </w:tc>
        <w:tc>
          <w:tcPr>
            <w:tcW w:type="dxa" w:w="7243"/>
          </w:tcPr>
          <w:p>
            <w:pPr>
              <w:spacing w:after="0"/>
              <w:jc w:val="left"/>
            </w:pPr>
            <w:r>
              <w:rPr>
                <w:rFonts w:ascii="Calibri" w:hAnsi="Calibri"/>
                <w:b w:val="0"/>
                <w:i w:val="0"/>
                <w:color w:val="111827"/>
                <w:sz w:val="17"/>
              </w:rPr>
              <w:t>Kurtarmada veri kaybı / hizmete dönüş hedefi; bu HLD'de kurumca doğrulanacak tasarım varsayımıdır.</w:t>
            </w:r>
          </w:p>
        </w:tc>
      </w:tr>
      <w:tr>
        <w:tc>
          <w:tcPr>
            <w:tcW w:type="dxa" w:w="2232"/>
            <w:shd w:fill="F4F7FB"/>
          </w:tcPr>
          <w:p>
            <w:pPr>
              <w:spacing w:after="0"/>
              <w:jc w:val="left"/>
            </w:pPr>
            <w:r>
              <w:rPr>
                <w:rFonts w:ascii="Calibri" w:hAnsi="Calibri"/>
                <w:b/>
                <w:i w:val="0"/>
                <w:color w:val="111827"/>
                <w:sz w:val="17"/>
              </w:rPr>
              <w:t>Signed URL</w:t>
            </w:r>
          </w:p>
        </w:tc>
        <w:tc>
          <w:tcPr>
            <w:tcW w:type="dxa" w:w="7243"/>
            <w:shd w:fill="F4F7FB"/>
          </w:tcPr>
          <w:p>
            <w:pPr>
              <w:spacing w:after="0"/>
              <w:jc w:val="left"/>
            </w:pPr>
            <w:r>
              <w:rPr>
                <w:rFonts w:ascii="Calibri" w:hAnsi="Calibri"/>
                <w:b w:val="0"/>
                <w:i w:val="0"/>
                <w:color w:val="111827"/>
                <w:sz w:val="17"/>
              </w:rPr>
              <w:t>Belirli artifact için kısa süreli ve kapsamlı yetkilendirilmiş indirme/yükleme adresi.</w:t>
            </w:r>
          </w:p>
        </w:tc>
      </w:tr>
      <w:tr>
        <w:tc>
          <w:tcPr>
            <w:tcW w:type="dxa" w:w="2232"/>
          </w:tcPr>
          <w:p>
            <w:pPr>
              <w:spacing w:after="0"/>
              <w:jc w:val="left"/>
            </w:pPr>
            <w:r>
              <w:rPr>
                <w:rFonts w:ascii="Calibri" w:hAnsi="Calibri"/>
                <w:b/>
                <w:i w:val="0"/>
                <w:color w:val="111827"/>
                <w:sz w:val="17"/>
              </w:rPr>
              <w:t>System of record</w:t>
            </w:r>
          </w:p>
        </w:tc>
        <w:tc>
          <w:tcPr>
            <w:tcW w:type="dxa" w:w="7243"/>
          </w:tcPr>
          <w:p>
            <w:pPr>
              <w:spacing w:after="0"/>
              <w:jc w:val="left"/>
            </w:pPr>
            <w:r>
              <w:rPr>
                <w:rFonts w:ascii="Calibri" w:hAnsi="Calibri"/>
                <w:b w:val="0"/>
                <w:i w:val="0"/>
                <w:color w:val="111827"/>
                <w:sz w:val="17"/>
              </w:rPr>
              <w:t>Yetkili durum kaynağı; bu mimaride job ve metadata için PostgreSQL.</w:t>
            </w:r>
          </w:p>
        </w:tc>
      </w:tr>
    </w:tbl>
    <w:p>
      <w:pPr>
        <w:spacing w:after="20"/>
      </w:pPr>
    </w:p>
    <w:p>
      <w:pPr>
        <w:pStyle w:val="Heading1"/>
        <w:keepNext/>
      </w:pPr>
      <w:r>
        <w:t>Appendix A. Architecture decision records</w:t>
      </w:r>
    </w:p>
    <w:p>
      <w:pPr>
        <w:pStyle w:val="Heading2"/>
        <w:keepNext/>
      </w:pPr>
      <w:r>
        <w:t>ADR-01 - Modüler monolit ve ayrık workers</w:t>
      </w:r>
    </w:p>
    <w:tbl>
      <w:tblPr>
        <w:tblStyle w:val="TableGrid"/>
        <w:jc w:val="left"/>
        <w:tblLook w:firstColumn="1" w:firstRow="1" w:lastColumn="0" w:lastRow="0" w:noHBand="0" w:noVBand="1" w:val="04A0"/>
        <w:tblW w:w="9475" w:type="dxa"/>
        <w:tblInd w:w="120" w:type="dxa"/>
        <w:tblLayout w:type="fixed"/>
      </w:tblPr>
      <w:tblGrid>
        <w:gridCol w:w="1152"/>
        <w:gridCol w:w="2951"/>
        <w:gridCol w:w="2592"/>
        <w:gridCol w:w="2779"/>
      </w:tblGrid>
      <w:tr>
        <w:trPr>
          <w:tblHeader w:val="true"/>
        </w:trPr>
        <w:tc>
          <w:tcPr>
            <w:tcW w:type="dxa" w:w="1152"/>
            <w:tcMar>
              <w:top w:w="72" w:type="dxa"/>
              <w:start w:w="110" w:type="dxa"/>
              <w:bottom w:w="72" w:type="dxa"/>
              <w:end w:w="110" w:type="dxa"/>
            </w:tcMar>
            <w:vAlign w:val="center"/>
            <w:shd w:fill="0C2854"/>
          </w:tcPr>
          <w:p>
            <w:pPr>
              <w:spacing w:after="0"/>
              <w:jc w:val="center"/>
            </w:pPr>
            <w:r>
              <w:rPr>
                <w:rFonts w:ascii="Calibri" w:hAnsi="Calibri"/>
                <w:b/>
                <w:i w:val="0"/>
                <w:color w:val="FFFFFF"/>
                <w:sz w:val="16"/>
              </w:rPr>
              <w:t>Durum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6"/>
              </w:rPr>
              <w:t>Bağlam</w:t>
            </w:r>
          </w:p>
        </w:tc>
        <w:tc>
          <w:tcPr>
            <w:tcW w:type="dxa" w:w="2592"/>
            <w:tcMar>
              <w:top w:w="72" w:type="dxa"/>
              <w:start w:w="110" w:type="dxa"/>
              <w:bottom w:w="72" w:type="dxa"/>
              <w:end w:w="110" w:type="dxa"/>
            </w:tcMar>
            <w:vAlign w:val="center"/>
            <w:shd w:fill="0C2854"/>
          </w:tcPr>
          <w:p>
            <w:pPr>
              <w:spacing w:after="0"/>
              <w:jc w:val="center"/>
            </w:pPr>
            <w:r>
              <w:rPr>
                <w:rFonts w:ascii="Calibri" w:hAnsi="Calibri"/>
                <w:b/>
                <w:i w:val="0"/>
                <w:color w:val="FFFFFF"/>
                <w:sz w:val="16"/>
              </w:rPr>
              <w:t>Karar</w:t>
            </w:r>
          </w:p>
        </w:tc>
        <w:tc>
          <w:tcPr>
            <w:tcW w:type="dxa" w:w="2779"/>
            <w:tcMar>
              <w:top w:w="72" w:type="dxa"/>
              <w:start w:w="110" w:type="dxa"/>
              <w:bottom w:w="72" w:type="dxa"/>
              <w:end w:w="110" w:type="dxa"/>
            </w:tcMar>
            <w:vAlign w:val="center"/>
            <w:shd w:fill="0C2854"/>
          </w:tcPr>
          <w:p>
            <w:pPr>
              <w:spacing w:after="0"/>
              <w:jc w:val="center"/>
            </w:pPr>
            <w:r>
              <w:rPr>
                <w:rFonts w:ascii="Calibri" w:hAnsi="Calibri"/>
                <w:b/>
                <w:i w:val="0"/>
                <w:color w:val="FFFFFF"/>
                <w:sz w:val="16"/>
              </w:rPr>
              <w:t>Sonuç</w:t>
            </w:r>
          </w:p>
        </w:tc>
      </w:tr>
      <w:tr>
        <w:tc>
          <w:tcPr>
            <w:tcW w:type="dxa" w:w="1152"/>
          </w:tcPr>
          <w:p>
            <w:pPr>
              <w:spacing w:after="0"/>
              <w:jc w:val="left"/>
            </w:pPr>
            <w:r>
              <w:rPr>
                <w:rFonts w:ascii="Calibri" w:hAnsi="Calibri"/>
                <w:b/>
                <w:i w:val="0"/>
                <w:color w:val="111827"/>
                <w:sz w:val="16"/>
              </w:rPr>
              <w:t>Accepted</w:t>
            </w:r>
          </w:p>
        </w:tc>
        <w:tc>
          <w:tcPr>
            <w:tcW w:type="dxa" w:w="2951"/>
          </w:tcPr>
          <w:p>
            <w:pPr>
              <w:spacing w:after="0"/>
              <w:jc w:val="left"/>
            </w:pPr>
            <w:r>
              <w:rPr>
                <w:rFonts w:ascii="Calibri" w:hAnsi="Calibri"/>
                <w:b w:val="0"/>
                <w:i w:val="0"/>
                <w:color w:val="111827"/>
                <w:sz w:val="16"/>
              </w:rPr>
              <w:t>Ekip küçük; ancak CPU/GPU işler uzun ve bağımsız ölçek gerektiriyor.</w:t>
            </w:r>
          </w:p>
        </w:tc>
        <w:tc>
          <w:tcPr>
            <w:tcW w:type="dxa" w:w="2592"/>
          </w:tcPr>
          <w:p>
            <w:pPr>
              <w:spacing w:after="0"/>
              <w:jc w:val="left"/>
            </w:pPr>
            <w:r>
              <w:rPr>
                <w:rFonts w:ascii="Calibri" w:hAnsi="Calibri"/>
                <w:b w:val="0"/>
                <w:i w:val="0"/>
                <w:color w:val="111827"/>
                <w:sz w:val="16"/>
              </w:rPr>
              <w:t>Tek web/control codebase; queue sözleşmeli worker süreçleri.</w:t>
            </w:r>
          </w:p>
        </w:tc>
        <w:tc>
          <w:tcPr>
            <w:tcW w:type="dxa" w:w="2779"/>
          </w:tcPr>
          <w:p>
            <w:pPr>
              <w:spacing w:after="0"/>
              <w:jc w:val="left"/>
            </w:pPr>
            <w:r>
              <w:rPr>
                <w:rFonts w:ascii="Calibri" w:hAnsi="Calibri"/>
                <w:b w:val="0"/>
                <w:i w:val="0"/>
                <w:color w:val="111827"/>
                <w:sz w:val="16"/>
              </w:rPr>
              <w:t>Dağıtım basit, transaction yerel. İleride servis çıkarma mümkün; package boundaries testle korunmalı.</w:t>
            </w:r>
          </w:p>
        </w:tc>
      </w:tr>
    </w:tbl>
    <w:p>
      <w:pPr>
        <w:spacing w:after="20"/>
      </w:pPr>
    </w:p>
    <w:p>
      <w:pPr>
        <w:pStyle w:val="Heading2"/>
        <w:keepNext/>
      </w:pPr>
      <w:r>
        <w:t>ADR-02 - PostgreSQL/PostGIS + object storage</w:t>
      </w:r>
    </w:p>
    <w:tbl>
      <w:tblPr>
        <w:tblStyle w:val="TableGrid"/>
        <w:jc w:val="left"/>
        <w:tblLook w:firstColumn="1" w:firstRow="1" w:lastColumn="0" w:lastRow="0" w:noHBand="0" w:noVBand="1" w:val="04A0"/>
        <w:tblW w:w="9475" w:type="dxa"/>
        <w:tblInd w:w="120" w:type="dxa"/>
        <w:tblLayout w:type="fixed"/>
      </w:tblPr>
      <w:tblGrid>
        <w:gridCol w:w="1152"/>
        <w:gridCol w:w="2951"/>
        <w:gridCol w:w="2592"/>
        <w:gridCol w:w="2779"/>
      </w:tblGrid>
      <w:tr>
        <w:trPr>
          <w:tblHeader w:val="true"/>
        </w:trPr>
        <w:tc>
          <w:tcPr>
            <w:tcW w:type="dxa" w:w="1152"/>
            <w:tcMar>
              <w:top w:w="72" w:type="dxa"/>
              <w:start w:w="110" w:type="dxa"/>
              <w:bottom w:w="72" w:type="dxa"/>
              <w:end w:w="110" w:type="dxa"/>
            </w:tcMar>
            <w:vAlign w:val="center"/>
            <w:shd w:fill="0C2854"/>
          </w:tcPr>
          <w:p>
            <w:pPr>
              <w:spacing w:after="0"/>
              <w:jc w:val="center"/>
            </w:pPr>
            <w:r>
              <w:rPr>
                <w:rFonts w:ascii="Calibri" w:hAnsi="Calibri"/>
                <w:b/>
                <w:i w:val="0"/>
                <w:color w:val="FFFFFF"/>
                <w:sz w:val="16"/>
              </w:rPr>
              <w:t>Durum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6"/>
              </w:rPr>
              <w:t>Bağlam</w:t>
            </w:r>
          </w:p>
        </w:tc>
        <w:tc>
          <w:tcPr>
            <w:tcW w:type="dxa" w:w="2592"/>
            <w:tcMar>
              <w:top w:w="72" w:type="dxa"/>
              <w:start w:w="110" w:type="dxa"/>
              <w:bottom w:w="72" w:type="dxa"/>
              <w:end w:w="110" w:type="dxa"/>
            </w:tcMar>
            <w:vAlign w:val="center"/>
            <w:shd w:fill="0C2854"/>
          </w:tcPr>
          <w:p>
            <w:pPr>
              <w:spacing w:after="0"/>
              <w:jc w:val="center"/>
            </w:pPr>
            <w:r>
              <w:rPr>
                <w:rFonts w:ascii="Calibri" w:hAnsi="Calibri"/>
                <w:b/>
                <w:i w:val="0"/>
                <w:color w:val="FFFFFF"/>
                <w:sz w:val="16"/>
              </w:rPr>
              <w:t>Karar</w:t>
            </w:r>
          </w:p>
        </w:tc>
        <w:tc>
          <w:tcPr>
            <w:tcW w:type="dxa" w:w="2779"/>
            <w:tcMar>
              <w:top w:w="72" w:type="dxa"/>
              <w:start w:w="110" w:type="dxa"/>
              <w:bottom w:w="72" w:type="dxa"/>
              <w:end w:w="110" w:type="dxa"/>
            </w:tcMar>
            <w:vAlign w:val="center"/>
            <w:shd w:fill="0C2854"/>
          </w:tcPr>
          <w:p>
            <w:pPr>
              <w:spacing w:after="0"/>
              <w:jc w:val="center"/>
            </w:pPr>
            <w:r>
              <w:rPr>
                <w:rFonts w:ascii="Calibri" w:hAnsi="Calibri"/>
                <w:b/>
                <w:i w:val="0"/>
                <w:color w:val="FFFFFF"/>
                <w:sz w:val="16"/>
              </w:rPr>
              <w:t>Sonuç</w:t>
            </w:r>
          </w:p>
        </w:tc>
      </w:tr>
      <w:tr>
        <w:tc>
          <w:tcPr>
            <w:tcW w:type="dxa" w:w="1152"/>
          </w:tcPr>
          <w:p>
            <w:pPr>
              <w:spacing w:after="0"/>
              <w:jc w:val="left"/>
            </w:pPr>
            <w:r>
              <w:rPr>
                <w:rFonts w:ascii="Calibri" w:hAnsi="Calibri"/>
                <w:b/>
                <w:i w:val="0"/>
                <w:color w:val="111827"/>
                <w:sz w:val="16"/>
              </w:rPr>
              <w:t>Accepted</w:t>
            </w:r>
          </w:p>
        </w:tc>
        <w:tc>
          <w:tcPr>
            <w:tcW w:type="dxa" w:w="2951"/>
          </w:tcPr>
          <w:p>
            <w:pPr>
              <w:spacing w:after="0"/>
              <w:jc w:val="left"/>
            </w:pPr>
            <w:r>
              <w:rPr>
                <w:rFonts w:ascii="Calibri" w:hAnsi="Calibri"/>
                <w:b w:val="0"/>
                <w:i w:val="0"/>
                <w:color w:val="111827"/>
                <w:sz w:val="16"/>
              </w:rPr>
              <w:t>İlişkisel/provenance ve mekânsal sorgu ile TB ölçekli raster/model aynı depolama davranışına sahip değil.</w:t>
            </w:r>
          </w:p>
        </w:tc>
        <w:tc>
          <w:tcPr>
            <w:tcW w:type="dxa" w:w="2592"/>
          </w:tcPr>
          <w:p>
            <w:pPr>
              <w:spacing w:after="0"/>
              <w:jc w:val="left"/>
            </w:pPr>
            <w:r>
              <w:rPr>
                <w:rFonts w:ascii="Calibri" w:hAnsi="Calibri"/>
                <w:b w:val="0"/>
                <w:i w:val="0"/>
                <w:color w:val="111827"/>
                <w:sz w:val="16"/>
              </w:rPr>
              <w:t>Metadata/geometri DB'de; büyük artifact object store'da URI + checksum.</w:t>
            </w:r>
          </w:p>
        </w:tc>
        <w:tc>
          <w:tcPr>
            <w:tcW w:type="dxa" w:w="2779"/>
          </w:tcPr>
          <w:p>
            <w:pPr>
              <w:spacing w:after="0"/>
              <w:jc w:val="left"/>
            </w:pPr>
            <w:r>
              <w:rPr>
                <w:rFonts w:ascii="Calibri" w:hAnsi="Calibri"/>
                <w:b w:val="0"/>
                <w:i w:val="0"/>
                <w:color w:val="111827"/>
                <w:sz w:val="16"/>
              </w:rPr>
              <w:t>İki katmanın tutarlılığı publish protokolü ve integrity monitor ile yönetilir.</w:t>
            </w:r>
          </w:p>
        </w:tc>
      </w:tr>
    </w:tbl>
    <w:p>
      <w:pPr>
        <w:spacing w:after="20"/>
      </w:pPr>
    </w:p>
    <w:p>
      <w:pPr>
        <w:pStyle w:val="Heading2"/>
        <w:keepNext/>
      </w:pPr>
      <w:r>
        <w:t>ADR-03 - PostgreSQL job truth, Redis transport</w:t>
      </w:r>
    </w:p>
    <w:tbl>
      <w:tblPr>
        <w:tblStyle w:val="TableGrid"/>
        <w:jc w:val="left"/>
        <w:tblLook w:firstColumn="1" w:firstRow="1" w:lastColumn="0" w:lastRow="0" w:noHBand="0" w:noVBand="1" w:val="04A0"/>
        <w:tblW w:w="9475" w:type="dxa"/>
        <w:tblInd w:w="120" w:type="dxa"/>
        <w:tblLayout w:type="fixed"/>
      </w:tblPr>
      <w:tblGrid>
        <w:gridCol w:w="1152"/>
        <w:gridCol w:w="2951"/>
        <w:gridCol w:w="2592"/>
        <w:gridCol w:w="2779"/>
      </w:tblGrid>
      <w:tr>
        <w:trPr>
          <w:tblHeader w:val="true"/>
        </w:trPr>
        <w:tc>
          <w:tcPr>
            <w:tcW w:type="dxa" w:w="1152"/>
            <w:tcMar>
              <w:top w:w="72" w:type="dxa"/>
              <w:start w:w="110" w:type="dxa"/>
              <w:bottom w:w="72" w:type="dxa"/>
              <w:end w:w="110" w:type="dxa"/>
            </w:tcMar>
            <w:vAlign w:val="center"/>
            <w:shd w:fill="0C2854"/>
          </w:tcPr>
          <w:p>
            <w:pPr>
              <w:spacing w:after="0"/>
              <w:jc w:val="center"/>
            </w:pPr>
            <w:r>
              <w:rPr>
                <w:rFonts w:ascii="Calibri" w:hAnsi="Calibri"/>
                <w:b/>
                <w:i w:val="0"/>
                <w:color w:val="FFFFFF"/>
                <w:sz w:val="16"/>
              </w:rPr>
              <w:t>Durum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6"/>
              </w:rPr>
              <w:t>Bağlam</w:t>
            </w:r>
          </w:p>
        </w:tc>
        <w:tc>
          <w:tcPr>
            <w:tcW w:type="dxa" w:w="2592"/>
            <w:tcMar>
              <w:top w:w="72" w:type="dxa"/>
              <w:start w:w="110" w:type="dxa"/>
              <w:bottom w:w="72" w:type="dxa"/>
              <w:end w:w="110" w:type="dxa"/>
            </w:tcMar>
            <w:vAlign w:val="center"/>
            <w:shd w:fill="0C2854"/>
          </w:tcPr>
          <w:p>
            <w:pPr>
              <w:spacing w:after="0"/>
              <w:jc w:val="center"/>
            </w:pPr>
            <w:r>
              <w:rPr>
                <w:rFonts w:ascii="Calibri" w:hAnsi="Calibri"/>
                <w:b/>
                <w:i w:val="0"/>
                <w:color w:val="FFFFFF"/>
                <w:sz w:val="16"/>
              </w:rPr>
              <w:t>Karar</w:t>
            </w:r>
          </w:p>
        </w:tc>
        <w:tc>
          <w:tcPr>
            <w:tcW w:type="dxa" w:w="2779"/>
            <w:tcMar>
              <w:top w:w="72" w:type="dxa"/>
              <w:start w:w="110" w:type="dxa"/>
              <w:bottom w:w="72" w:type="dxa"/>
              <w:end w:w="110" w:type="dxa"/>
            </w:tcMar>
            <w:vAlign w:val="center"/>
            <w:shd w:fill="0C2854"/>
          </w:tcPr>
          <w:p>
            <w:pPr>
              <w:spacing w:after="0"/>
              <w:jc w:val="center"/>
            </w:pPr>
            <w:r>
              <w:rPr>
                <w:rFonts w:ascii="Calibri" w:hAnsi="Calibri"/>
                <w:b/>
                <w:i w:val="0"/>
                <w:color w:val="FFFFFF"/>
                <w:sz w:val="16"/>
              </w:rPr>
              <w:t>Sonuç</w:t>
            </w:r>
          </w:p>
        </w:tc>
      </w:tr>
      <w:tr>
        <w:tc>
          <w:tcPr>
            <w:tcW w:type="dxa" w:w="1152"/>
          </w:tcPr>
          <w:p>
            <w:pPr>
              <w:spacing w:after="0"/>
              <w:jc w:val="left"/>
            </w:pPr>
            <w:r>
              <w:rPr>
                <w:rFonts w:ascii="Calibri" w:hAnsi="Calibri"/>
                <w:b/>
                <w:i w:val="0"/>
                <w:color w:val="111827"/>
                <w:sz w:val="16"/>
              </w:rPr>
              <w:t>Accepted</w:t>
            </w:r>
          </w:p>
        </w:tc>
        <w:tc>
          <w:tcPr>
            <w:tcW w:type="dxa" w:w="2951"/>
          </w:tcPr>
          <w:p>
            <w:pPr>
              <w:spacing w:after="0"/>
              <w:jc w:val="left"/>
            </w:pPr>
            <w:r>
              <w:rPr>
                <w:rFonts w:ascii="Calibri" w:hAnsi="Calibri"/>
                <w:b w:val="0"/>
                <w:i w:val="0"/>
                <w:color w:val="111827"/>
                <w:sz w:val="16"/>
              </w:rPr>
              <w:t>Queue mesajı kaybı bilimsel iş ve kullanıcı geçmişi kaybına dönüşmemeli.</w:t>
            </w:r>
          </w:p>
        </w:tc>
        <w:tc>
          <w:tcPr>
            <w:tcW w:type="dxa" w:w="2592"/>
          </w:tcPr>
          <w:p>
            <w:pPr>
              <w:spacing w:after="0"/>
              <w:jc w:val="left"/>
            </w:pPr>
            <w:r>
              <w:rPr>
                <w:rFonts w:ascii="Calibri" w:hAnsi="Calibri"/>
                <w:b w:val="0"/>
                <w:i w:val="0"/>
                <w:color w:val="111827"/>
                <w:sz w:val="16"/>
              </w:rPr>
              <w:t>Kalıcı state DB'de; Redis yeniden kurulabilir; reconciler queued/stale işleri toparlar.</w:t>
            </w:r>
          </w:p>
        </w:tc>
        <w:tc>
          <w:tcPr>
            <w:tcW w:type="dxa" w:w="2779"/>
          </w:tcPr>
          <w:p>
            <w:pPr>
              <w:spacing w:after="0"/>
              <w:jc w:val="left"/>
            </w:pPr>
            <w:r>
              <w:rPr>
                <w:rFonts w:ascii="Calibri" w:hAnsi="Calibri"/>
                <w:b w:val="0"/>
                <w:i w:val="0"/>
                <w:color w:val="111827"/>
                <w:sz w:val="16"/>
              </w:rPr>
              <w:t>Bir miktar kontrol mantığı artar; dayanıklılık ve audit kazanılır.</w:t>
            </w:r>
          </w:p>
        </w:tc>
      </w:tr>
    </w:tbl>
    <w:p>
      <w:pPr>
        <w:spacing w:after="20"/>
      </w:pPr>
    </w:p>
    <w:p>
      <w:pPr>
        <w:pStyle w:val="Heading2"/>
        <w:keepNext/>
      </w:pPr>
      <w:r>
        <w:t>ADR-04 - Kişisel verisiz erişim</w:t>
      </w:r>
    </w:p>
    <w:tbl>
      <w:tblPr>
        <w:tblStyle w:val="TableGrid"/>
        <w:jc w:val="left"/>
        <w:tblLook w:firstColumn="1" w:firstRow="1" w:lastColumn="0" w:lastRow="0" w:noHBand="0" w:noVBand="1" w:val="04A0"/>
        <w:tblW w:w="9475" w:type="dxa"/>
        <w:tblInd w:w="120" w:type="dxa"/>
        <w:tblLayout w:type="fixed"/>
      </w:tblPr>
      <w:tblGrid>
        <w:gridCol w:w="1152"/>
        <w:gridCol w:w="2951"/>
        <w:gridCol w:w="2592"/>
        <w:gridCol w:w="2779"/>
      </w:tblGrid>
      <w:tr>
        <w:trPr>
          <w:tblHeader w:val="true"/>
        </w:trPr>
        <w:tc>
          <w:tcPr>
            <w:tcW w:type="dxa" w:w="1152"/>
            <w:tcMar>
              <w:top w:w="72" w:type="dxa"/>
              <w:start w:w="110" w:type="dxa"/>
              <w:bottom w:w="72" w:type="dxa"/>
              <w:end w:w="110" w:type="dxa"/>
            </w:tcMar>
            <w:vAlign w:val="center"/>
            <w:shd w:fill="0C2854"/>
          </w:tcPr>
          <w:p>
            <w:pPr>
              <w:spacing w:after="0"/>
              <w:jc w:val="center"/>
            </w:pPr>
            <w:r>
              <w:rPr>
                <w:rFonts w:ascii="Calibri" w:hAnsi="Calibri"/>
                <w:b/>
                <w:i w:val="0"/>
                <w:color w:val="FFFFFF"/>
                <w:sz w:val="16"/>
              </w:rPr>
              <w:t>Durum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6"/>
              </w:rPr>
              <w:t>Bağlam</w:t>
            </w:r>
          </w:p>
        </w:tc>
        <w:tc>
          <w:tcPr>
            <w:tcW w:type="dxa" w:w="2592"/>
            <w:tcMar>
              <w:top w:w="72" w:type="dxa"/>
              <w:start w:w="110" w:type="dxa"/>
              <w:bottom w:w="72" w:type="dxa"/>
              <w:end w:w="110" w:type="dxa"/>
            </w:tcMar>
            <w:vAlign w:val="center"/>
            <w:shd w:fill="0C2854"/>
          </w:tcPr>
          <w:p>
            <w:pPr>
              <w:spacing w:after="0"/>
              <w:jc w:val="center"/>
            </w:pPr>
            <w:r>
              <w:rPr>
                <w:rFonts w:ascii="Calibri" w:hAnsi="Calibri"/>
                <w:b/>
                <w:i w:val="0"/>
                <w:color w:val="FFFFFF"/>
                <w:sz w:val="16"/>
              </w:rPr>
              <w:t>Karar</w:t>
            </w:r>
          </w:p>
        </w:tc>
        <w:tc>
          <w:tcPr>
            <w:tcW w:type="dxa" w:w="2779"/>
            <w:tcMar>
              <w:top w:w="72" w:type="dxa"/>
              <w:start w:w="110" w:type="dxa"/>
              <w:bottom w:w="72" w:type="dxa"/>
              <w:end w:w="110" w:type="dxa"/>
            </w:tcMar>
            <w:vAlign w:val="center"/>
            <w:shd w:fill="0C2854"/>
          </w:tcPr>
          <w:p>
            <w:pPr>
              <w:spacing w:after="0"/>
              <w:jc w:val="center"/>
            </w:pPr>
            <w:r>
              <w:rPr>
                <w:rFonts w:ascii="Calibri" w:hAnsi="Calibri"/>
                <w:b/>
                <w:i w:val="0"/>
                <w:color w:val="FFFFFF"/>
                <w:sz w:val="16"/>
              </w:rPr>
              <w:t>Sonuç</w:t>
            </w:r>
          </w:p>
        </w:tc>
      </w:tr>
      <w:tr>
        <w:tc>
          <w:tcPr>
            <w:tcW w:type="dxa" w:w="1152"/>
          </w:tcPr>
          <w:p>
            <w:pPr>
              <w:spacing w:after="0"/>
              <w:jc w:val="left"/>
            </w:pPr>
            <w:r>
              <w:rPr>
                <w:rFonts w:ascii="Calibri" w:hAnsi="Calibri"/>
                <w:b/>
                <w:i w:val="0"/>
                <w:color w:val="111827"/>
                <w:sz w:val="16"/>
              </w:rPr>
              <w:t>Accepted</w:t>
            </w:r>
          </w:p>
        </w:tc>
        <w:tc>
          <w:tcPr>
            <w:tcW w:type="dxa" w:w="2951"/>
          </w:tcPr>
          <w:p>
            <w:pPr>
              <w:spacing w:after="0"/>
              <w:jc w:val="left"/>
            </w:pPr>
            <w:r>
              <w:rPr>
                <w:rFonts w:ascii="Calibri" w:hAnsi="Calibri"/>
                <w:b w:val="0"/>
                <w:i w:val="0"/>
                <w:color w:val="111827"/>
                <w:sz w:val="16"/>
              </w:rPr>
              <w:t>PKE varsayılan MVP'nin kişisel veri işlemediğini söyler; uygulama hesabı bu sınırı bozar.</w:t>
            </w:r>
          </w:p>
        </w:tc>
        <w:tc>
          <w:tcPr>
            <w:tcW w:type="dxa" w:w="2592"/>
          </w:tcPr>
          <w:p>
            <w:pPr>
              <w:spacing w:after="0"/>
              <w:jc w:val="left"/>
            </w:pPr>
            <w:r>
              <w:rPr>
                <w:rFonts w:ascii="Calibri" w:hAnsi="Calibri"/>
                <w:b w:val="0"/>
                <w:i w:val="0"/>
                <w:color w:val="111827"/>
                <w:sz w:val="16"/>
              </w:rPr>
              <w:t>Host/kampüs erişim kapısı, kısa ömürlü capability ve service identity; subject/IP kalıcı değil.</w:t>
            </w:r>
          </w:p>
        </w:tc>
        <w:tc>
          <w:tcPr>
            <w:tcW w:type="dxa" w:w="2779"/>
          </w:tcPr>
          <w:p>
            <w:pPr>
              <w:spacing w:after="0"/>
              <w:jc w:val="left"/>
            </w:pPr>
            <w:r>
              <w:rPr>
                <w:rFonts w:ascii="Calibri" w:hAnsi="Calibri"/>
                <w:b w:val="0"/>
                <w:i w:val="0"/>
                <w:color w:val="111827"/>
                <w:sz w:val="16"/>
              </w:rPr>
              <w:t>Çok kullanıcılı OIDC/RBAC gelecekte ancak PKE ve hukuki/etik onayla eklenebilir.</w:t>
            </w:r>
          </w:p>
        </w:tc>
      </w:tr>
    </w:tbl>
    <w:p>
      <w:pPr>
        <w:spacing w:after="20"/>
      </w:pPr>
    </w:p>
    <w:p>
      <w:pPr>
        <w:pStyle w:val="Heading2"/>
        <w:keepNext/>
      </w:pPr>
      <w:r>
        <w:t>ADR-05 - Baseline + zorunlu LSTM</w:t>
      </w:r>
    </w:p>
    <w:tbl>
      <w:tblPr>
        <w:tblStyle w:val="TableGrid"/>
        <w:jc w:val="left"/>
        <w:tblLook w:firstColumn="1" w:firstRow="1" w:lastColumn="0" w:lastRow="0" w:noHBand="0" w:noVBand="1" w:val="04A0"/>
        <w:tblW w:w="9475" w:type="dxa"/>
        <w:tblInd w:w="120" w:type="dxa"/>
        <w:tblLayout w:type="fixed"/>
      </w:tblPr>
      <w:tblGrid>
        <w:gridCol w:w="1152"/>
        <w:gridCol w:w="2951"/>
        <w:gridCol w:w="2592"/>
        <w:gridCol w:w="2779"/>
      </w:tblGrid>
      <w:tr>
        <w:trPr>
          <w:tblHeader w:val="true"/>
        </w:trPr>
        <w:tc>
          <w:tcPr>
            <w:tcW w:type="dxa" w:w="1152"/>
            <w:tcMar>
              <w:top w:w="72" w:type="dxa"/>
              <w:start w:w="110" w:type="dxa"/>
              <w:bottom w:w="72" w:type="dxa"/>
              <w:end w:w="110" w:type="dxa"/>
            </w:tcMar>
            <w:vAlign w:val="center"/>
            <w:shd w:fill="0C2854"/>
          </w:tcPr>
          <w:p>
            <w:pPr>
              <w:spacing w:after="0"/>
              <w:jc w:val="center"/>
            </w:pPr>
            <w:r>
              <w:rPr>
                <w:rFonts w:ascii="Calibri" w:hAnsi="Calibri"/>
                <w:b/>
                <w:i w:val="0"/>
                <w:color w:val="FFFFFF"/>
                <w:sz w:val="16"/>
              </w:rPr>
              <w:t>Durum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6"/>
              </w:rPr>
              <w:t>Bağlam</w:t>
            </w:r>
          </w:p>
        </w:tc>
        <w:tc>
          <w:tcPr>
            <w:tcW w:type="dxa" w:w="2592"/>
            <w:tcMar>
              <w:top w:w="72" w:type="dxa"/>
              <w:start w:w="110" w:type="dxa"/>
              <w:bottom w:w="72" w:type="dxa"/>
              <w:end w:w="110" w:type="dxa"/>
            </w:tcMar>
            <w:vAlign w:val="center"/>
            <w:shd w:fill="0C2854"/>
          </w:tcPr>
          <w:p>
            <w:pPr>
              <w:spacing w:after="0"/>
              <w:jc w:val="center"/>
            </w:pPr>
            <w:r>
              <w:rPr>
                <w:rFonts w:ascii="Calibri" w:hAnsi="Calibri"/>
                <w:b/>
                <w:i w:val="0"/>
                <w:color w:val="FFFFFF"/>
                <w:sz w:val="16"/>
              </w:rPr>
              <w:t>Karar</w:t>
            </w:r>
          </w:p>
        </w:tc>
        <w:tc>
          <w:tcPr>
            <w:tcW w:type="dxa" w:w="2779"/>
            <w:tcMar>
              <w:top w:w="72" w:type="dxa"/>
              <w:start w:w="110" w:type="dxa"/>
              <w:bottom w:w="72" w:type="dxa"/>
              <w:end w:w="110" w:type="dxa"/>
            </w:tcMar>
            <w:vAlign w:val="center"/>
            <w:shd w:fill="0C2854"/>
          </w:tcPr>
          <w:p>
            <w:pPr>
              <w:spacing w:after="0"/>
              <w:jc w:val="center"/>
            </w:pPr>
            <w:r>
              <w:rPr>
                <w:rFonts w:ascii="Calibri" w:hAnsi="Calibri"/>
                <w:b/>
                <w:i w:val="0"/>
                <w:color w:val="FFFFFF"/>
                <w:sz w:val="16"/>
              </w:rPr>
              <w:t>Sonuç</w:t>
            </w:r>
          </w:p>
        </w:tc>
      </w:tr>
      <w:tr>
        <w:tc>
          <w:tcPr>
            <w:tcW w:type="dxa" w:w="1152"/>
          </w:tcPr>
          <w:p>
            <w:pPr>
              <w:spacing w:after="0"/>
              <w:jc w:val="left"/>
            </w:pPr>
            <w:r>
              <w:rPr>
                <w:rFonts w:ascii="Calibri" w:hAnsi="Calibri"/>
                <w:b/>
                <w:i w:val="0"/>
                <w:color w:val="111827"/>
                <w:sz w:val="16"/>
              </w:rPr>
              <w:t>Accepted</w:t>
            </w:r>
          </w:p>
        </w:tc>
        <w:tc>
          <w:tcPr>
            <w:tcW w:type="dxa" w:w="2951"/>
          </w:tcPr>
          <w:p>
            <w:pPr>
              <w:spacing w:after="0"/>
              <w:jc w:val="left"/>
            </w:pPr>
            <w:r>
              <w:rPr>
                <w:rFonts w:ascii="Calibri" w:hAnsi="Calibri"/>
                <w:b w:val="0"/>
                <w:i w:val="0"/>
                <w:color w:val="111827"/>
                <w:sz w:val="16"/>
              </w:rPr>
              <w:t>Analiz FR-08 LSTM'i minimum öğrenen model olarak zorunlu kılar.</w:t>
            </w:r>
          </w:p>
        </w:tc>
        <w:tc>
          <w:tcPr>
            <w:tcW w:type="dxa" w:w="2592"/>
          </w:tcPr>
          <w:p>
            <w:pPr>
              <w:spacing w:after="0"/>
              <w:jc w:val="left"/>
            </w:pPr>
            <w:r>
              <w:rPr>
                <w:rFonts w:ascii="Calibri" w:hAnsi="Calibri"/>
                <w:b w:val="0"/>
                <w:i w:val="0"/>
                <w:color w:val="111827"/>
                <w:sz w:val="16"/>
              </w:rPr>
              <w:t>No-change ve linear trend kıyas için zorunlu; LSTM ana koşunun yayın şartı; Mamba/TimesFM opsiyonel.</w:t>
            </w:r>
          </w:p>
        </w:tc>
        <w:tc>
          <w:tcPr>
            <w:tcW w:type="dxa" w:w="2779"/>
          </w:tcPr>
          <w:p>
            <w:pPr>
              <w:spacing w:after="0"/>
              <w:jc w:val="left"/>
            </w:pPr>
            <w:r>
              <w:rPr>
                <w:rFonts w:ascii="Calibri" w:hAnsi="Calibri"/>
                <w:b w:val="0"/>
                <w:i w:val="0"/>
                <w:color w:val="111827"/>
                <w:sz w:val="16"/>
              </w:rPr>
              <w:t>LSTM başarısızsa baseline tanısal taslak kalır; MVP sonucu PUBLISHED olamaz.</w:t>
            </w:r>
          </w:p>
        </w:tc>
      </w:tr>
    </w:tbl>
    <w:p>
      <w:pPr>
        <w:spacing w:after="20"/>
      </w:pPr>
    </w:p>
    <w:p>
      <w:pPr>
        <w:pStyle w:val="Heading2"/>
        <w:keepNext/>
      </w:pPr>
      <w:r>
        <w:t>ADR-06 - GHSL/GISD30 bağımsız karşılaştırma</w:t>
      </w:r>
    </w:p>
    <w:tbl>
      <w:tblPr>
        <w:tblStyle w:val="TableGrid"/>
        <w:jc w:val="left"/>
        <w:tblLook w:firstColumn="1" w:firstRow="1" w:lastColumn="0" w:lastRow="0" w:noHBand="0" w:noVBand="1" w:val="04A0"/>
        <w:tblW w:w="9475" w:type="dxa"/>
        <w:tblInd w:w="120" w:type="dxa"/>
        <w:tblLayout w:type="fixed"/>
      </w:tblPr>
      <w:tblGrid>
        <w:gridCol w:w="1152"/>
        <w:gridCol w:w="2951"/>
        <w:gridCol w:w="2592"/>
        <w:gridCol w:w="2779"/>
      </w:tblGrid>
      <w:tr>
        <w:trPr>
          <w:tblHeader w:val="true"/>
        </w:trPr>
        <w:tc>
          <w:tcPr>
            <w:tcW w:type="dxa" w:w="1152"/>
            <w:tcMar>
              <w:top w:w="72" w:type="dxa"/>
              <w:start w:w="110" w:type="dxa"/>
              <w:bottom w:w="72" w:type="dxa"/>
              <w:end w:w="110" w:type="dxa"/>
            </w:tcMar>
            <w:vAlign w:val="center"/>
            <w:shd w:fill="0C2854"/>
          </w:tcPr>
          <w:p>
            <w:pPr>
              <w:spacing w:after="0"/>
              <w:jc w:val="center"/>
            </w:pPr>
            <w:r>
              <w:rPr>
                <w:rFonts w:ascii="Calibri" w:hAnsi="Calibri"/>
                <w:b/>
                <w:i w:val="0"/>
                <w:color w:val="FFFFFF"/>
                <w:sz w:val="16"/>
              </w:rPr>
              <w:t>Durum</w:t>
            </w:r>
          </w:p>
        </w:tc>
        <w:tc>
          <w:tcPr>
            <w:tcW w:type="dxa" w:w="2951"/>
            <w:tcMar>
              <w:top w:w="72" w:type="dxa"/>
              <w:start w:w="110" w:type="dxa"/>
              <w:bottom w:w="72" w:type="dxa"/>
              <w:end w:w="110" w:type="dxa"/>
            </w:tcMar>
            <w:vAlign w:val="center"/>
            <w:shd w:fill="0C2854"/>
          </w:tcPr>
          <w:p>
            <w:pPr>
              <w:spacing w:after="0"/>
              <w:jc w:val="center"/>
            </w:pPr>
            <w:r>
              <w:rPr>
                <w:rFonts w:ascii="Calibri" w:hAnsi="Calibri"/>
                <w:b/>
                <w:i w:val="0"/>
                <w:color w:val="FFFFFF"/>
                <w:sz w:val="16"/>
              </w:rPr>
              <w:t>Bağlam</w:t>
            </w:r>
          </w:p>
        </w:tc>
        <w:tc>
          <w:tcPr>
            <w:tcW w:type="dxa" w:w="2592"/>
            <w:tcMar>
              <w:top w:w="72" w:type="dxa"/>
              <w:start w:w="110" w:type="dxa"/>
              <w:bottom w:w="72" w:type="dxa"/>
              <w:end w:w="110" w:type="dxa"/>
            </w:tcMar>
            <w:vAlign w:val="center"/>
            <w:shd w:fill="0C2854"/>
          </w:tcPr>
          <w:p>
            <w:pPr>
              <w:spacing w:after="0"/>
              <w:jc w:val="center"/>
            </w:pPr>
            <w:r>
              <w:rPr>
                <w:rFonts w:ascii="Calibri" w:hAnsi="Calibri"/>
                <w:b/>
                <w:i w:val="0"/>
                <w:color w:val="FFFFFF"/>
                <w:sz w:val="16"/>
              </w:rPr>
              <w:t>Karar</w:t>
            </w:r>
          </w:p>
        </w:tc>
        <w:tc>
          <w:tcPr>
            <w:tcW w:type="dxa" w:w="2779"/>
            <w:tcMar>
              <w:top w:w="72" w:type="dxa"/>
              <w:start w:w="110" w:type="dxa"/>
              <w:bottom w:w="72" w:type="dxa"/>
              <w:end w:w="110" w:type="dxa"/>
            </w:tcMar>
            <w:vAlign w:val="center"/>
            <w:shd w:fill="0C2854"/>
          </w:tcPr>
          <w:p>
            <w:pPr>
              <w:spacing w:after="0"/>
              <w:jc w:val="center"/>
            </w:pPr>
            <w:r>
              <w:rPr>
                <w:rFonts w:ascii="Calibri" w:hAnsi="Calibri"/>
                <w:b/>
                <w:i w:val="0"/>
                <w:color w:val="FFFFFF"/>
                <w:sz w:val="16"/>
              </w:rPr>
              <w:t>Sonuç</w:t>
            </w:r>
          </w:p>
        </w:tc>
      </w:tr>
      <w:tr>
        <w:tc>
          <w:tcPr>
            <w:tcW w:type="dxa" w:w="1152"/>
          </w:tcPr>
          <w:p>
            <w:pPr>
              <w:spacing w:after="0"/>
              <w:jc w:val="left"/>
            </w:pPr>
            <w:r>
              <w:rPr>
                <w:rFonts w:ascii="Calibri" w:hAnsi="Calibri"/>
                <w:b/>
                <w:i w:val="0"/>
                <w:color w:val="111827"/>
                <w:sz w:val="16"/>
              </w:rPr>
              <w:t>Accepted</w:t>
            </w:r>
          </w:p>
        </w:tc>
        <w:tc>
          <w:tcPr>
            <w:tcW w:type="dxa" w:w="2951"/>
          </w:tcPr>
          <w:p>
            <w:pPr>
              <w:spacing w:after="0"/>
              <w:jc w:val="left"/>
            </w:pPr>
            <w:r>
              <w:rPr>
                <w:rFonts w:ascii="Calibri" w:hAnsi="Calibri"/>
                <w:b w:val="0"/>
                <w:i w:val="0"/>
                <w:color w:val="111827"/>
                <w:sz w:val="16"/>
              </w:rPr>
              <w:t>PKE bu kaynakların ana Sentinel serisini uzatmasını yasaklar.</w:t>
            </w:r>
          </w:p>
        </w:tc>
        <w:tc>
          <w:tcPr>
            <w:tcW w:type="dxa" w:w="2592"/>
          </w:tcPr>
          <w:p>
            <w:pPr>
              <w:spacing w:after="0"/>
              <w:jc w:val="left"/>
            </w:pPr>
            <w:r>
              <w:rPr>
                <w:rFonts w:ascii="Calibri" w:hAnsi="Calibri"/>
                <w:b w:val="0"/>
                <w:i w:val="0"/>
                <w:color w:val="111827"/>
                <w:sz w:val="16"/>
              </w:rPr>
              <w:t>Ayrı adapter, ComparisonRun ve sonuç namespace'i; primary TimeSeries/Forecast ile birleşim yok.</w:t>
            </w:r>
          </w:p>
        </w:tc>
        <w:tc>
          <w:tcPr>
            <w:tcW w:type="dxa" w:w="2779"/>
          </w:tcPr>
          <w:p>
            <w:pPr>
              <w:spacing w:after="0"/>
              <w:jc w:val="left"/>
            </w:pPr>
            <w:r>
              <w:rPr>
                <w:rFonts w:ascii="Calibri" w:hAnsi="Calibri"/>
                <w:b w:val="0"/>
                <w:i w:val="0"/>
                <w:color w:val="111827"/>
                <w:sz w:val="16"/>
              </w:rPr>
              <w:t>Karşılaştırma korunur fakat ana modelin veri tanımı ve tekrarlanabilirliği değişmez.</w:t>
            </w:r>
          </w:p>
        </w:tc>
      </w:tr>
    </w:tbl>
    <w:p>
      <w:pPr>
        <w:spacing w:after="20"/>
      </w:pPr>
    </w:p>
    <w:p>
      <w:pPr>
        <w:pStyle w:val="Heading1"/>
        <w:keepNext/>
      </w:pPr>
      <w:r>
        <w:t>Appendix B. Rubric compliance checklist</w:t>
      </w:r>
    </w:p>
    <w:tbl>
      <w:tblPr>
        <w:tblStyle w:val="TableGrid"/>
        <w:jc w:val="left"/>
        <w:tblLook w:firstColumn="1" w:firstRow="1" w:lastColumn="0" w:lastRow="0" w:noHBand="0" w:noVBand="1" w:val="04A0"/>
        <w:tblW w:w="9475" w:type="dxa"/>
        <w:tblInd w:w="120" w:type="dxa"/>
        <w:tblLayout w:type="fixed"/>
      </w:tblPr>
      <w:tblGrid>
        <w:gridCol w:w="3240"/>
        <w:gridCol w:w="2376"/>
        <w:gridCol w:w="3859"/>
      </w:tblGrid>
      <w:tr>
        <w:trPr>
          <w:tblHeader w:val="true"/>
        </w:trPr>
        <w:tc>
          <w:tcPr>
            <w:tcW w:type="dxa" w:w="3240"/>
            <w:tcMar>
              <w:top w:w="72" w:type="dxa"/>
              <w:start w:w="110" w:type="dxa"/>
              <w:bottom w:w="72" w:type="dxa"/>
              <w:end w:w="110" w:type="dxa"/>
            </w:tcMar>
            <w:vAlign w:val="center"/>
            <w:shd w:fill="0C2854"/>
          </w:tcPr>
          <w:p>
            <w:pPr>
              <w:spacing w:after="0"/>
              <w:jc w:val="center"/>
            </w:pPr>
            <w:r>
              <w:rPr>
                <w:rFonts w:ascii="Calibri" w:hAnsi="Calibri"/>
                <w:b/>
                <w:i w:val="0"/>
                <w:color w:val="FFFFFF"/>
                <w:sz w:val="16"/>
              </w:rPr>
              <w:t>Rubric maddesi</w:t>
            </w:r>
          </w:p>
        </w:tc>
        <w:tc>
          <w:tcPr>
            <w:tcW w:type="dxa" w:w="2376"/>
            <w:tcMar>
              <w:top w:w="72" w:type="dxa"/>
              <w:start w:w="110" w:type="dxa"/>
              <w:bottom w:w="72" w:type="dxa"/>
              <w:end w:w="110" w:type="dxa"/>
            </w:tcMar>
            <w:vAlign w:val="center"/>
            <w:shd w:fill="0C2854"/>
          </w:tcPr>
          <w:p>
            <w:pPr>
              <w:spacing w:after="0"/>
              <w:jc w:val="center"/>
            </w:pPr>
            <w:r>
              <w:rPr>
                <w:rFonts w:ascii="Calibri" w:hAnsi="Calibri"/>
                <w:b/>
                <w:i w:val="0"/>
                <w:color w:val="FFFFFF"/>
                <w:sz w:val="16"/>
              </w:rPr>
              <w:t>Kanıt</w:t>
            </w:r>
          </w:p>
        </w:tc>
        <w:tc>
          <w:tcPr>
            <w:tcW w:type="dxa" w:w="3859"/>
            <w:tcMar>
              <w:top w:w="72" w:type="dxa"/>
              <w:start w:w="110" w:type="dxa"/>
              <w:bottom w:w="72" w:type="dxa"/>
              <w:end w:w="110" w:type="dxa"/>
            </w:tcMar>
            <w:vAlign w:val="center"/>
            <w:shd w:fill="0C2854"/>
          </w:tcPr>
          <w:p>
            <w:pPr>
              <w:spacing w:after="0"/>
              <w:jc w:val="center"/>
            </w:pPr>
            <w:r>
              <w:rPr>
                <w:rFonts w:ascii="Calibri" w:hAnsi="Calibri"/>
                <w:b/>
                <w:i w:val="0"/>
                <w:color w:val="FFFFFF"/>
                <w:sz w:val="16"/>
              </w:rPr>
              <w:t>Kontrol sonucu</w:t>
            </w:r>
          </w:p>
        </w:tc>
      </w:tr>
      <w:tr>
        <w:tc>
          <w:tcPr>
            <w:tcW w:type="dxa" w:w="3240"/>
          </w:tcPr>
          <w:p>
            <w:pPr>
              <w:spacing w:after="0"/>
              <w:jc w:val="left"/>
            </w:pPr>
            <w:r>
              <w:rPr>
                <w:rFonts w:ascii="Calibri" w:hAnsi="Calibri"/>
                <w:b/>
                <w:i w:val="0"/>
                <w:color w:val="111827"/>
                <w:sz w:val="16"/>
              </w:rPr>
              <w:t>Design goals 5+ ve çatışmalar</w:t>
            </w:r>
          </w:p>
        </w:tc>
        <w:tc>
          <w:tcPr>
            <w:tcW w:type="dxa" w:w="2376"/>
          </w:tcPr>
          <w:p>
            <w:pPr>
              <w:spacing w:after="0"/>
              <w:jc w:val="left"/>
            </w:pPr>
            <w:r>
              <w:rPr>
                <w:rFonts w:ascii="Calibri" w:hAnsi="Calibri"/>
                <w:b w:val="0"/>
                <w:i w:val="0"/>
                <w:color w:val="111827"/>
                <w:sz w:val="16"/>
              </w:rPr>
              <w:t>§1.3, Tablo DG-01..DG-09</w:t>
            </w:r>
          </w:p>
        </w:tc>
        <w:tc>
          <w:tcPr>
            <w:tcW w:type="dxa" w:w="3859"/>
          </w:tcPr>
          <w:p>
            <w:pPr>
              <w:spacing w:after="0"/>
              <w:jc w:val="left"/>
            </w:pPr>
            <w:r>
              <w:rPr>
                <w:rFonts w:ascii="Calibri" w:hAnsi="Calibri"/>
                <w:b w:val="0"/>
                <w:i w:val="0"/>
                <w:color w:val="111827"/>
                <w:sz w:val="16"/>
              </w:rPr>
              <w:t>Dokuz hedef; her birinde çatışma ve tercih gerekçesi</w:t>
            </w:r>
          </w:p>
        </w:tc>
      </w:tr>
      <w:tr>
        <w:tc>
          <w:tcPr>
            <w:tcW w:type="dxa" w:w="3240"/>
            <w:shd w:fill="F4F7FB"/>
          </w:tcPr>
          <w:p>
            <w:pPr>
              <w:spacing w:after="0"/>
              <w:jc w:val="left"/>
            </w:pPr>
            <w:r>
              <w:rPr>
                <w:rFonts w:ascii="Calibri" w:hAnsi="Calibri"/>
                <w:b/>
                <w:i w:val="0"/>
                <w:color w:val="111827"/>
                <w:sz w:val="16"/>
              </w:rPr>
              <w:t>Subsystem decomposition + UML component</w:t>
            </w:r>
          </w:p>
        </w:tc>
        <w:tc>
          <w:tcPr>
            <w:tcW w:type="dxa" w:w="2376"/>
            <w:shd w:fill="F4F7FB"/>
          </w:tcPr>
          <w:p>
            <w:pPr>
              <w:spacing w:after="0"/>
              <w:jc w:val="left"/>
            </w:pPr>
            <w:r>
              <w:rPr>
                <w:rFonts w:ascii="Calibri" w:hAnsi="Calibri"/>
                <w:b w:val="0"/>
                <w:i w:val="0"/>
                <w:color w:val="111827"/>
                <w:sz w:val="16"/>
              </w:rPr>
              <w:t>§3.2, Şekil 2</w:t>
            </w:r>
          </w:p>
        </w:tc>
        <w:tc>
          <w:tcPr>
            <w:tcW w:type="dxa" w:w="3859"/>
            <w:shd w:fill="F4F7FB"/>
          </w:tcPr>
          <w:p>
            <w:pPr>
              <w:spacing w:after="0"/>
              <w:jc w:val="left"/>
            </w:pPr>
            <w:r>
              <w:rPr>
                <w:rFonts w:ascii="Calibri" w:hAnsi="Calibri"/>
                <w:b w:val="0"/>
                <w:i w:val="0"/>
                <w:color w:val="111827"/>
                <w:sz w:val="16"/>
              </w:rPr>
              <w:t>14 alt sistem, sorumluluk/girdi/çıktı/hata</w:t>
            </w:r>
          </w:p>
        </w:tc>
      </w:tr>
      <w:tr>
        <w:tc>
          <w:tcPr>
            <w:tcW w:type="dxa" w:w="3240"/>
          </w:tcPr>
          <w:p>
            <w:pPr>
              <w:spacing w:after="0"/>
              <w:jc w:val="left"/>
            </w:pPr>
            <w:r>
              <w:rPr>
                <w:rFonts w:ascii="Calibri" w:hAnsi="Calibri"/>
                <w:b/>
                <w:i w:val="0"/>
                <w:color w:val="111827"/>
                <w:sz w:val="16"/>
              </w:rPr>
              <w:t>Hardware/software mapping + UML deployment</w:t>
            </w:r>
          </w:p>
        </w:tc>
        <w:tc>
          <w:tcPr>
            <w:tcW w:type="dxa" w:w="2376"/>
          </w:tcPr>
          <w:p>
            <w:pPr>
              <w:spacing w:after="0"/>
              <w:jc w:val="left"/>
            </w:pPr>
            <w:r>
              <w:rPr>
                <w:rFonts w:ascii="Calibri" w:hAnsi="Calibri"/>
                <w:b w:val="0"/>
                <w:i w:val="0"/>
                <w:color w:val="111827"/>
                <w:sz w:val="16"/>
              </w:rPr>
              <w:t>§3.3, Şekil 3</w:t>
            </w:r>
          </w:p>
        </w:tc>
        <w:tc>
          <w:tcPr>
            <w:tcW w:type="dxa" w:w="3859"/>
          </w:tcPr>
          <w:p>
            <w:pPr>
              <w:spacing w:after="0"/>
              <w:jc w:val="left"/>
            </w:pPr>
            <w:r>
              <w:rPr>
                <w:rFonts w:ascii="Calibri" w:hAnsi="Calibri"/>
                <w:b w:val="0"/>
                <w:i w:val="0"/>
                <w:color w:val="111827"/>
                <w:sz w:val="16"/>
              </w:rPr>
              <w:t>Düğümler, yazılım, kapasite, güven sınırı</w:t>
            </w:r>
          </w:p>
        </w:tc>
      </w:tr>
      <w:tr>
        <w:tc>
          <w:tcPr>
            <w:tcW w:type="dxa" w:w="3240"/>
            <w:shd w:fill="F4F7FB"/>
          </w:tcPr>
          <w:p>
            <w:pPr>
              <w:spacing w:after="0"/>
              <w:jc w:val="left"/>
            </w:pPr>
            <w:r>
              <w:rPr>
                <w:rFonts w:ascii="Calibri" w:hAnsi="Calibri"/>
                <w:b/>
                <w:i w:val="0"/>
                <w:color w:val="111827"/>
                <w:sz w:val="16"/>
              </w:rPr>
              <w:t>Persistent data: DB seçimi, şema</w:t>
            </w:r>
          </w:p>
        </w:tc>
        <w:tc>
          <w:tcPr>
            <w:tcW w:type="dxa" w:w="2376"/>
            <w:shd w:fill="F4F7FB"/>
          </w:tcPr>
          <w:p>
            <w:pPr>
              <w:spacing w:after="0"/>
              <w:jc w:val="left"/>
            </w:pPr>
            <w:r>
              <w:rPr>
                <w:rFonts w:ascii="Calibri" w:hAnsi="Calibri"/>
                <w:b w:val="0"/>
                <w:i w:val="0"/>
                <w:color w:val="111827"/>
                <w:sz w:val="16"/>
              </w:rPr>
              <w:t>§3.4.1, Şekil 4</w:t>
            </w:r>
          </w:p>
        </w:tc>
        <w:tc>
          <w:tcPr>
            <w:tcW w:type="dxa" w:w="3859"/>
            <w:shd w:fill="F4F7FB"/>
          </w:tcPr>
          <w:p>
            <w:pPr>
              <w:spacing w:after="0"/>
              <w:jc w:val="left"/>
            </w:pPr>
            <w:r>
              <w:rPr>
                <w:rFonts w:ascii="Calibri" w:hAnsi="Calibri"/>
                <w:b w:val="0"/>
                <w:i w:val="0"/>
                <w:color w:val="111827"/>
                <w:sz w:val="16"/>
              </w:rPr>
              <w:t>PostgreSQL/PostGIS gerekçesi ve conceptual schema</w:t>
            </w:r>
          </w:p>
        </w:tc>
      </w:tr>
      <w:tr>
        <w:tc>
          <w:tcPr>
            <w:tcW w:type="dxa" w:w="3240"/>
          </w:tcPr>
          <w:p>
            <w:pPr>
              <w:spacing w:after="0"/>
              <w:jc w:val="left"/>
            </w:pPr>
            <w:r>
              <w:rPr>
                <w:rFonts w:ascii="Calibri" w:hAnsi="Calibri"/>
                <w:b/>
                <w:i w:val="0"/>
                <w:color w:val="111827"/>
                <w:sz w:val="16"/>
              </w:rPr>
              <w:t>Backup</w:t>
            </w:r>
          </w:p>
        </w:tc>
        <w:tc>
          <w:tcPr>
            <w:tcW w:type="dxa" w:w="2376"/>
          </w:tcPr>
          <w:p>
            <w:pPr>
              <w:spacing w:after="0"/>
              <w:jc w:val="left"/>
            </w:pPr>
            <w:r>
              <w:rPr>
                <w:rFonts w:ascii="Calibri" w:hAnsi="Calibri"/>
                <w:b w:val="0"/>
                <w:i w:val="0"/>
                <w:color w:val="111827"/>
                <w:sz w:val="16"/>
              </w:rPr>
              <w:t>§3.4.3</w:t>
            </w:r>
          </w:p>
        </w:tc>
        <w:tc>
          <w:tcPr>
            <w:tcW w:type="dxa" w:w="3859"/>
          </w:tcPr>
          <w:p>
            <w:pPr>
              <w:spacing w:after="0"/>
              <w:jc w:val="left"/>
            </w:pPr>
            <w:r>
              <w:rPr>
                <w:rFonts w:ascii="Calibri" w:hAnsi="Calibri"/>
                <w:b w:val="0"/>
                <w:i w:val="0"/>
                <w:color w:val="111827"/>
                <w:sz w:val="16"/>
              </w:rPr>
              <w:t>DB/object/Redis/secrets, RPO/RTO ve restore testleri</w:t>
            </w:r>
          </w:p>
        </w:tc>
      </w:tr>
      <w:tr>
        <w:tc>
          <w:tcPr>
            <w:tcW w:type="dxa" w:w="3240"/>
            <w:shd w:fill="F4F7FB"/>
          </w:tcPr>
          <w:p>
            <w:pPr>
              <w:spacing w:after="0"/>
              <w:jc w:val="left"/>
            </w:pPr>
            <w:r>
              <w:rPr>
                <w:rFonts w:ascii="Calibri" w:hAnsi="Calibri"/>
                <w:b/>
                <w:i w:val="0"/>
                <w:color w:val="111827"/>
                <w:sz w:val="16"/>
              </w:rPr>
              <w:t>Access control &amp; security, KVKK</w:t>
            </w:r>
          </w:p>
        </w:tc>
        <w:tc>
          <w:tcPr>
            <w:tcW w:type="dxa" w:w="2376"/>
            <w:shd w:fill="F4F7FB"/>
          </w:tcPr>
          <w:p>
            <w:pPr>
              <w:spacing w:after="0"/>
              <w:jc w:val="left"/>
            </w:pPr>
            <w:r>
              <w:rPr>
                <w:rFonts w:ascii="Calibri" w:hAnsi="Calibri"/>
                <w:b w:val="0"/>
                <w:i w:val="0"/>
                <w:color w:val="111827"/>
                <w:sz w:val="16"/>
              </w:rPr>
              <w:t>§3.5</w:t>
            </w:r>
          </w:p>
        </w:tc>
        <w:tc>
          <w:tcPr>
            <w:tcW w:type="dxa" w:w="3859"/>
            <w:shd w:fill="F4F7FB"/>
          </w:tcPr>
          <w:p>
            <w:pPr>
              <w:spacing w:after="0"/>
              <w:jc w:val="left"/>
            </w:pPr>
            <w:r>
              <w:rPr>
                <w:rFonts w:ascii="Calibri" w:hAnsi="Calibri"/>
                <w:b w:val="0"/>
                <w:i w:val="0"/>
                <w:color w:val="111827"/>
                <w:sz w:val="16"/>
              </w:rPr>
              <w:t>Host/kampüs kapısı, capability, TLS/at-rest, kişisel veri yok ve kimliksiz audit</w:t>
            </w:r>
          </w:p>
        </w:tc>
      </w:tr>
      <w:tr>
        <w:tc>
          <w:tcPr>
            <w:tcW w:type="dxa" w:w="3240"/>
          </w:tcPr>
          <w:p>
            <w:pPr>
              <w:spacing w:after="0"/>
              <w:jc w:val="left"/>
            </w:pPr>
            <w:r>
              <w:rPr>
                <w:rFonts w:ascii="Calibri" w:hAnsi="Calibri"/>
                <w:b/>
                <w:i w:val="0"/>
                <w:color w:val="111827"/>
                <w:sz w:val="16"/>
              </w:rPr>
              <w:t>Global control sync/async</w:t>
            </w:r>
          </w:p>
        </w:tc>
        <w:tc>
          <w:tcPr>
            <w:tcW w:type="dxa" w:w="2376"/>
          </w:tcPr>
          <w:p>
            <w:pPr>
              <w:spacing w:after="0"/>
              <w:jc w:val="left"/>
            </w:pPr>
            <w:r>
              <w:rPr>
                <w:rFonts w:ascii="Calibri" w:hAnsi="Calibri"/>
                <w:b w:val="0"/>
                <w:i w:val="0"/>
                <w:color w:val="111827"/>
                <w:sz w:val="16"/>
              </w:rPr>
              <w:t>§3.6, Şekil 5</w:t>
            </w:r>
          </w:p>
        </w:tc>
        <w:tc>
          <w:tcPr>
            <w:tcW w:type="dxa" w:w="3859"/>
          </w:tcPr>
          <w:p>
            <w:pPr>
              <w:spacing w:after="0"/>
              <w:jc w:val="left"/>
            </w:pPr>
            <w:r>
              <w:rPr>
                <w:rFonts w:ascii="Calibri" w:hAnsi="Calibri"/>
                <w:b w:val="0"/>
                <w:i w:val="0"/>
                <w:color w:val="111827"/>
                <w:sz w:val="16"/>
              </w:rPr>
              <w:t>Job states, queue, backpressure, consistency</w:t>
            </w:r>
          </w:p>
        </w:tc>
      </w:tr>
      <w:tr>
        <w:tc>
          <w:tcPr>
            <w:tcW w:type="dxa" w:w="3240"/>
            <w:shd w:fill="F4F7FB"/>
          </w:tcPr>
          <w:p>
            <w:pPr>
              <w:spacing w:after="0"/>
              <w:jc w:val="left"/>
            </w:pPr>
            <w:r>
              <w:rPr>
                <w:rFonts w:ascii="Calibri" w:hAnsi="Calibri"/>
                <w:b/>
                <w:i w:val="0"/>
                <w:color w:val="111827"/>
                <w:sz w:val="16"/>
              </w:rPr>
              <w:t>Retry/circuit breaker/fallback</w:t>
            </w:r>
          </w:p>
        </w:tc>
        <w:tc>
          <w:tcPr>
            <w:tcW w:type="dxa" w:w="2376"/>
            <w:shd w:fill="F4F7FB"/>
          </w:tcPr>
          <w:p>
            <w:pPr>
              <w:spacing w:after="0"/>
              <w:jc w:val="left"/>
            </w:pPr>
            <w:r>
              <w:rPr>
                <w:rFonts w:ascii="Calibri" w:hAnsi="Calibri"/>
                <w:b w:val="0"/>
                <w:i w:val="0"/>
                <w:color w:val="111827"/>
                <w:sz w:val="16"/>
              </w:rPr>
              <w:t>§3.6.2</w:t>
            </w:r>
          </w:p>
        </w:tc>
        <w:tc>
          <w:tcPr>
            <w:tcW w:type="dxa" w:w="3859"/>
            <w:shd w:fill="F4F7FB"/>
          </w:tcPr>
          <w:p>
            <w:pPr>
              <w:spacing w:after="0"/>
              <w:jc w:val="left"/>
            </w:pPr>
            <w:r>
              <w:rPr>
                <w:rFonts w:ascii="Calibri" w:hAnsi="Calibri"/>
                <w:b w:val="0"/>
                <w:i w:val="0"/>
                <w:color w:val="111827"/>
                <w:sz w:val="16"/>
              </w:rPr>
              <w:t>Somut hata sınıfı ve retry bütçesi</w:t>
            </w:r>
          </w:p>
        </w:tc>
      </w:tr>
      <w:tr>
        <w:tc>
          <w:tcPr>
            <w:tcW w:type="dxa" w:w="3240"/>
          </w:tcPr>
          <w:p>
            <w:pPr>
              <w:spacing w:after="0"/>
              <w:jc w:val="left"/>
            </w:pPr>
            <w:r>
              <w:rPr>
                <w:rFonts w:ascii="Calibri" w:hAnsi="Calibri"/>
                <w:b/>
                <w:i w:val="0"/>
                <w:color w:val="111827"/>
                <w:sz w:val="16"/>
              </w:rPr>
              <w:t>Boundary conditions</w:t>
            </w:r>
          </w:p>
        </w:tc>
        <w:tc>
          <w:tcPr>
            <w:tcW w:type="dxa" w:w="2376"/>
          </w:tcPr>
          <w:p>
            <w:pPr>
              <w:spacing w:after="0"/>
              <w:jc w:val="left"/>
            </w:pPr>
            <w:r>
              <w:rPr>
                <w:rFonts w:ascii="Calibri" w:hAnsi="Calibri"/>
                <w:b w:val="0"/>
                <w:i w:val="0"/>
                <w:color w:val="111827"/>
                <w:sz w:val="16"/>
              </w:rPr>
              <w:t>§3.7</w:t>
            </w:r>
          </w:p>
        </w:tc>
        <w:tc>
          <w:tcPr>
            <w:tcW w:type="dxa" w:w="3859"/>
          </w:tcPr>
          <w:p>
            <w:pPr>
              <w:spacing w:after="0"/>
              <w:jc w:val="left"/>
            </w:pPr>
            <w:r>
              <w:rPr>
                <w:rFonts w:ascii="Calibri" w:hAnsi="Calibri"/>
                <w:b w:val="0"/>
                <w:i w:val="0"/>
                <w:color w:val="111827"/>
                <w:sz w:val="16"/>
              </w:rPr>
              <w:t>Cold start, shutdown, edge cases ve disaster recovery</w:t>
            </w:r>
          </w:p>
        </w:tc>
      </w:tr>
      <w:tr>
        <w:tc>
          <w:tcPr>
            <w:tcW w:type="dxa" w:w="3240"/>
            <w:shd w:fill="F4F7FB"/>
          </w:tcPr>
          <w:p>
            <w:pPr>
              <w:spacing w:after="0"/>
              <w:jc w:val="left"/>
            </w:pPr>
            <w:r>
              <w:rPr>
                <w:rFonts w:ascii="Calibri" w:hAnsi="Calibri"/>
                <w:b/>
                <w:i w:val="0"/>
                <w:color w:val="111827"/>
                <w:sz w:val="16"/>
              </w:rPr>
              <w:t>Subsystem services table/diagram</w:t>
            </w:r>
          </w:p>
        </w:tc>
        <w:tc>
          <w:tcPr>
            <w:tcW w:type="dxa" w:w="2376"/>
            <w:shd w:fill="F4F7FB"/>
          </w:tcPr>
          <w:p>
            <w:pPr>
              <w:spacing w:after="0"/>
              <w:jc w:val="left"/>
            </w:pPr>
            <w:r>
              <w:rPr>
                <w:rFonts w:ascii="Calibri" w:hAnsi="Calibri"/>
                <w:b w:val="0"/>
                <w:i w:val="0"/>
                <w:color w:val="111827"/>
                <w:sz w:val="16"/>
              </w:rPr>
              <w:t>§4, SVC-01..SVC-16</w:t>
            </w:r>
          </w:p>
        </w:tc>
        <w:tc>
          <w:tcPr>
            <w:tcW w:type="dxa" w:w="3859"/>
            <w:shd w:fill="F4F7FB"/>
          </w:tcPr>
          <w:p>
            <w:pPr>
              <w:spacing w:after="0"/>
              <w:jc w:val="left"/>
            </w:pPr>
            <w:r>
              <w:rPr>
                <w:rFonts w:ascii="Calibri" w:hAnsi="Calibri"/>
                <w:b w:val="0"/>
                <w:i w:val="0"/>
                <w:color w:val="111827"/>
                <w:sz w:val="16"/>
              </w:rPr>
              <w:t>Sağlayan/tüketen/tip/girdi/çıktı/iz</w:t>
            </w:r>
          </w:p>
        </w:tc>
      </w:tr>
      <w:tr>
        <w:tc>
          <w:tcPr>
            <w:tcW w:type="dxa" w:w="3240"/>
          </w:tcPr>
          <w:p>
            <w:pPr>
              <w:spacing w:after="0"/>
              <w:jc w:val="left"/>
            </w:pPr>
            <w:r>
              <w:rPr>
                <w:rFonts w:ascii="Calibri" w:hAnsi="Calibri"/>
                <w:b/>
                <w:i w:val="0"/>
                <w:color w:val="111827"/>
                <w:sz w:val="16"/>
              </w:rPr>
              <w:t>HLD-LLD traceability</w:t>
            </w:r>
          </w:p>
        </w:tc>
        <w:tc>
          <w:tcPr>
            <w:tcW w:type="dxa" w:w="2376"/>
          </w:tcPr>
          <w:p>
            <w:pPr>
              <w:spacing w:after="0"/>
              <w:jc w:val="left"/>
            </w:pPr>
            <w:r>
              <w:rPr>
                <w:rFonts w:ascii="Calibri" w:hAnsi="Calibri"/>
                <w:b w:val="0"/>
                <w:i w:val="0"/>
                <w:color w:val="111827"/>
                <w:sz w:val="16"/>
              </w:rPr>
              <w:t>§4.2</w:t>
            </w:r>
          </w:p>
        </w:tc>
        <w:tc>
          <w:tcPr>
            <w:tcW w:type="dxa" w:w="3859"/>
          </w:tcPr>
          <w:p>
            <w:pPr>
              <w:spacing w:after="0"/>
              <w:jc w:val="left"/>
            </w:pPr>
            <w:r>
              <w:rPr>
                <w:rFonts w:ascii="Calibri" w:hAnsi="Calibri"/>
                <w:b w:val="0"/>
                <w:i w:val="0"/>
                <w:color w:val="111827"/>
                <w:sz w:val="16"/>
              </w:rPr>
              <w:t>FR/NFR → HLD module → LLD package</w:t>
            </w:r>
          </w:p>
        </w:tc>
      </w:tr>
      <w:tr>
        <w:tc>
          <w:tcPr>
            <w:tcW w:type="dxa" w:w="3240"/>
            <w:shd w:fill="F4F7FB"/>
          </w:tcPr>
          <w:p>
            <w:pPr>
              <w:spacing w:after="0"/>
              <w:jc w:val="left"/>
            </w:pPr>
            <w:r>
              <w:rPr>
                <w:rFonts w:ascii="Calibri" w:hAnsi="Calibri"/>
                <w:b/>
                <w:i w:val="0"/>
                <w:color w:val="111827"/>
                <w:sz w:val="16"/>
              </w:rPr>
              <w:t>Yazım, format, references, dil</w:t>
            </w:r>
          </w:p>
        </w:tc>
        <w:tc>
          <w:tcPr>
            <w:tcW w:type="dxa" w:w="2376"/>
            <w:shd w:fill="F4F7FB"/>
          </w:tcPr>
          <w:p>
            <w:pPr>
              <w:spacing w:after="0"/>
              <w:jc w:val="left"/>
            </w:pPr>
            <w:r>
              <w:rPr>
                <w:rFonts w:ascii="Calibri" w:hAnsi="Calibri"/>
                <w:b w:val="0"/>
                <w:i w:val="0"/>
                <w:color w:val="111827"/>
                <w:sz w:val="16"/>
              </w:rPr>
              <w:t>Tüm belge, §6</w:t>
            </w:r>
          </w:p>
        </w:tc>
        <w:tc>
          <w:tcPr>
            <w:tcW w:type="dxa" w:w="3859"/>
            <w:shd w:fill="F4F7FB"/>
          </w:tcPr>
          <w:p>
            <w:pPr>
              <w:spacing w:after="0"/>
              <w:jc w:val="left"/>
            </w:pPr>
            <w:r>
              <w:rPr>
                <w:rFonts w:ascii="Calibri" w:hAnsi="Calibri"/>
                <w:b w:val="0"/>
                <w:i w:val="0"/>
                <w:color w:val="111827"/>
                <w:sz w:val="16"/>
              </w:rPr>
              <w:t>Kaynak template, tutarlı Türkçe ve numaralı kaynakça</w:t>
            </w:r>
          </w:p>
        </w:tc>
      </w:tr>
    </w:tbl>
    <w:p>
      <w:pPr>
        <w:spacing w:after="20"/>
      </w:pPr>
    </w:p>
    <w:p>
      <w:pPr>
        <w:pStyle w:val="Heading1"/>
        <w:keepNext/>
      </w:pPr>
      <w:r>
        <w:t>6. References</w:t>
      </w:r>
    </w:p>
    <w:p>
      <w:pPr>
        <w:spacing w:after="100"/>
        <w:ind w:left="403" w:hanging="403"/>
      </w:pPr>
      <w:r>
        <w:rPr>
          <w:rFonts w:ascii="Calibri" w:hAnsi="Calibri"/>
          <w:b w:val="0"/>
          <w:i w:val="0"/>
          <w:color w:val="111827"/>
          <w:sz w:val="18"/>
        </w:rPr>
        <w:t>[1] 'BİL/YAP 495 - Project Proposal / Proje Önerisi: Öz-Gözetimli Uydu Görüntü Segmentasyonu ve Zaman Serisi Modelleri ile Uzun Vadeli Kentsel Yayılma Tahmini,' TOBB ETÜ, 21 Haziran 2026.</w:t>
      </w:r>
    </w:p>
    <w:p>
      <w:pPr>
        <w:spacing w:after="100"/>
        <w:ind w:left="403" w:hanging="403"/>
      </w:pPr>
      <w:r>
        <w:rPr>
          <w:rFonts w:ascii="Calibri" w:hAnsi="Calibri"/>
          <w:b w:val="0"/>
          <w:i w:val="0"/>
          <w:color w:val="111827"/>
          <w:sz w:val="18"/>
        </w:rPr>
        <w:t>[2] 'Proje Spesifikasyon Raporu: Öz-Gözetimli Uydu Görüntü Segmentasyonu ve Zaman Serisi Modelleri ile Uzun Vadeli Kentsel Yayılma Tahmini,' BİL/YAP 495, TOBB ETÜ, 28 Haziran 2026.</w:t>
      </w:r>
    </w:p>
    <w:p>
      <w:pPr>
        <w:spacing w:after="100"/>
        <w:ind w:left="403" w:hanging="403"/>
      </w:pPr>
      <w:r>
        <w:rPr>
          <w:rFonts w:ascii="Calibri" w:hAnsi="Calibri"/>
          <w:b w:val="0"/>
          <w:i w:val="0"/>
          <w:color w:val="111827"/>
          <w:sz w:val="18"/>
        </w:rPr>
        <w:t>[3] 'Proje Analiz ve Modelleme Raporu,' BİL/YAP 495, TOBB ETÜ, 12 Temmuz 2026.</w:t>
      </w:r>
    </w:p>
    <w:p>
      <w:pPr>
        <w:spacing w:after="100"/>
        <w:ind w:left="403" w:hanging="403"/>
      </w:pPr>
      <w:r>
        <w:rPr>
          <w:rFonts w:ascii="Calibri" w:hAnsi="Calibri"/>
          <w:b w:val="0"/>
          <w:i w:val="0"/>
          <w:color w:val="111827"/>
          <w:sz w:val="18"/>
        </w:rPr>
        <w:t>[4] 'Proje Kısıt ve Etkiler Dokümanı (PKE),' BİL/YAP 495, TOBB ETÜ, 31 Temmuz 2026.</w:t>
      </w:r>
    </w:p>
    <w:p>
      <w:pPr>
        <w:spacing w:after="100"/>
        <w:ind w:left="403" w:hanging="403"/>
      </w:pPr>
      <w:r>
        <w:rPr>
          <w:rFonts w:ascii="Calibri" w:hAnsi="Calibri"/>
          <w:b w:val="0"/>
          <w:i w:val="0"/>
          <w:color w:val="111827"/>
          <w:sz w:val="18"/>
        </w:rPr>
        <w:t>[5] Y. Çimtay, 'High Level Design (HLD) - Low Level Design (LLD) Geçişi,' BİL/YAP 495 ders notu, TOBB ETÜ, 2026.</w:t>
      </w:r>
    </w:p>
    <w:p>
      <w:pPr>
        <w:spacing w:after="100"/>
        <w:ind w:left="403" w:hanging="403"/>
      </w:pPr>
      <w:r>
        <w:rPr>
          <w:rFonts w:ascii="Calibri" w:hAnsi="Calibri"/>
          <w:b w:val="0"/>
          <w:i w:val="0"/>
          <w:color w:val="111827"/>
          <w:sz w:val="18"/>
        </w:rPr>
        <w:t>[6] ISO/IEC 25010:2023, Systems and software engineering - Systems and software Quality Requirements and Evaluation (SQuaRE) - Product quality model, 2nd ed., ISO/IEC, 2023.</w:t>
      </w:r>
    </w:p>
    <w:p>
      <w:pPr>
        <w:spacing w:after="100"/>
        <w:ind w:left="403" w:hanging="403"/>
      </w:pPr>
      <w:r>
        <w:rPr>
          <w:rFonts w:ascii="Calibri" w:hAnsi="Calibri"/>
          <w:b w:val="0"/>
          <w:i w:val="0"/>
          <w:color w:val="111827"/>
          <w:sz w:val="18"/>
        </w:rPr>
        <w:t>[7] Make No Mistake proje çalışma alanı, kaynak kodu ve veri hazırlama anlık görüntüsü, 6 Ağustos 2026. İncelenen başlıca kanıtlar: app.py, training/*.py, TRAINING.md ve data/spring/{train,val,test}.csv ile dataset_stats.json.</w:t>
      </w:r>
    </w:p>
    <w:p>
      <w:pPr>
        <w:spacing w:after="100"/>
        <w:ind w:left="403" w:hanging="403"/>
      </w:pPr>
      <w:r>
        <w:rPr>
          <w:rFonts w:ascii="Calibri" w:hAnsi="Calibri"/>
          <w:b w:val="0"/>
          <w:i w:val="0"/>
          <w:color w:val="111827"/>
          <w:sz w:val="18"/>
        </w:rPr>
        <w:t>[8] Y. Wang et al., 'SSL4EO-S12: A Large-Scale Multi-Modal, Multi-Temporal Dataset for Self-Supervised Learning in Earth Observation,' IEEE Geoscience and Remote Sensing Magazine, vol. 11, no. 3, pp. 98-106, 2023, doi: 10.1109/MGRS.2023.3281651.</w:t>
      </w:r>
    </w:p>
    <w:p>
      <w:pPr>
        <w:spacing w:after="100"/>
        <w:ind w:left="403" w:hanging="403"/>
      </w:pPr>
      <w:r>
        <w:rPr>
          <w:rFonts w:ascii="Calibri" w:hAnsi="Calibri"/>
          <w:b w:val="0"/>
          <w:i w:val="0"/>
          <w:color w:val="111827"/>
          <w:sz w:val="18"/>
        </w:rPr>
        <w:t>[9] B. Blumenstiel, N. A. A. Braham, C. M. Albrecht, S. Maurogiovanni and P. Fraccaro, 'SSL4EO-S12 v1.1: A Multimodal, Multiseasonal Dataset for Pretraining, Updated,' arXiv:2503.00168, 2025. [Online]. Available: https://arxiv.org/abs/2503.00168. Accessed: 6 Aug. 2026.</w:t>
      </w:r>
    </w:p>
    <w:p>
      <w:pPr>
        <w:spacing w:after="100"/>
        <w:ind w:left="403" w:hanging="403"/>
      </w:pPr>
      <w:r>
        <w:rPr>
          <w:rFonts w:ascii="Calibri" w:hAnsi="Calibri"/>
          <w:b w:val="0"/>
          <w:i w:val="0"/>
          <w:color w:val="111827"/>
          <w:sz w:val="18"/>
        </w:rPr>
        <w:t>[10] Embed2Scale, 'SSL4EO-S12-v1.1,' Hugging Face Datasets, CC BY 4.0, doi: 10.57967/hf/6681. [Online]. Available: https://huggingface.co/datasets/embed2scale/SSL4EO-S12-v1.1. Accessed: 6 Aug. 2026.</w:t>
      </w:r>
    </w:p>
    <w:p>
      <w:pPr>
        <w:spacing w:after="100"/>
        <w:ind w:left="403" w:hanging="403"/>
      </w:pPr>
      <w:r>
        <w:rPr>
          <w:rFonts w:ascii="Calibri" w:hAnsi="Calibri"/>
          <w:b w:val="0"/>
          <w:i w:val="0"/>
          <w:color w:val="111827"/>
          <w:sz w:val="18"/>
        </w:rPr>
        <w:t>[11] European Space Agency, 'Sentinel-2 User Handbook,' Issue 1, Rev. 2, 24 July 2015. [Online]. Available: https://sentinels.copernicus.eu/documents/247904/685211/Sentinel-2_User_Handbook. Accessed: 6 Aug. 2026.</w:t>
      </w:r>
    </w:p>
    <w:p>
      <w:pPr>
        <w:spacing w:after="100"/>
        <w:ind w:left="403" w:hanging="403"/>
      </w:pPr>
      <w:r>
        <w:rPr>
          <w:rFonts w:ascii="Calibri" w:hAnsi="Calibri"/>
          <w:b w:val="0"/>
          <w:i w:val="0"/>
          <w:color w:val="111827"/>
          <w:sz w:val="18"/>
        </w:rPr>
        <w:t>[12] Copernicus, 'Sentinel-2 Documents - Level-2A Product and Technical Guides.' [Online]. Available: https://sentiwiki.copernicus.eu/web/s2-documents. Accessed: 6 Aug. 2026.</w:t>
      </w:r>
    </w:p>
    <w:p>
      <w:pPr>
        <w:spacing w:after="100"/>
        <w:ind w:left="403" w:hanging="403"/>
      </w:pPr>
      <w:r>
        <w:rPr>
          <w:rFonts w:ascii="Calibri" w:hAnsi="Calibri"/>
          <w:b w:val="0"/>
          <w:i w:val="0"/>
          <w:color w:val="111827"/>
          <w:sz w:val="18"/>
        </w:rPr>
        <w:t>[13] O. Oktay et al., 'Attention U-Net: Learning Where to Look for the Pancreas,' arXiv:1804.03999, 2018. [Online]. Available: https://arxiv.org/abs/1804.03999. Accessed: 6 Aug. 2026.</w:t>
      </w:r>
    </w:p>
    <w:p>
      <w:pPr>
        <w:spacing w:after="100"/>
        <w:ind w:left="403" w:hanging="403"/>
      </w:pPr>
      <w:r>
        <w:rPr>
          <w:rFonts w:ascii="Calibri" w:hAnsi="Calibri"/>
          <w:b w:val="0"/>
          <w:i w:val="0"/>
          <w:color w:val="111827"/>
          <w:sz w:val="18"/>
        </w:rPr>
        <w:t>[14] Pallets Projects, 'Flask Documentation, version 3.1.x.' [Online]. Available: https://flask.palletsprojects.com/en/stable/. Accessed: 6 Aug. 2026.</w:t>
      </w:r>
    </w:p>
    <w:p>
      <w:pPr>
        <w:spacing w:after="100"/>
        <w:ind w:left="403" w:hanging="403"/>
      </w:pPr>
      <w:r>
        <w:rPr>
          <w:rFonts w:ascii="Calibri" w:hAnsi="Calibri"/>
          <w:b w:val="0"/>
          <w:i w:val="0"/>
          <w:color w:val="111827"/>
          <w:sz w:val="18"/>
        </w:rPr>
        <w:t>[15] PyTorch Contributors, 'PyTorch Documentation.' [Online]. Available: https://pytorch.org/docs/stable/. Accessed: 6 Aug. 2026.</w:t>
      </w:r>
    </w:p>
    <w:p>
      <w:pPr>
        <w:spacing w:after="100"/>
        <w:ind w:left="403" w:hanging="403"/>
      </w:pPr>
      <w:r>
        <w:rPr>
          <w:rFonts w:ascii="Calibri" w:hAnsi="Calibri"/>
          <w:b w:val="0"/>
          <w:i w:val="0"/>
          <w:color w:val="111827"/>
          <w:sz w:val="18"/>
        </w:rPr>
        <w:t>[16] Redis Ltd., 'Redis Documentation.' [Online]. Available: https://redis.io/docs/latest/. Accessed: 6 Aug. 2026.</w:t>
      </w:r>
    </w:p>
    <w:p>
      <w:pPr>
        <w:spacing w:after="100"/>
        <w:ind w:left="403" w:hanging="403"/>
      </w:pPr>
      <w:r>
        <w:rPr>
          <w:rFonts w:ascii="Calibri" w:hAnsi="Calibri"/>
          <w:b w:val="0"/>
          <w:i w:val="0"/>
          <w:color w:val="111827"/>
          <w:sz w:val="18"/>
        </w:rPr>
        <w:t>[17] Celery Project, 'Celery 5.6 Documentation - Tasks, Retry and Backoff.' [Online]. Available: https://docs.celeryq.dev/en/stable/userguide/tasks.html. Accessed: 6 Aug. 2026.</w:t>
      </w:r>
    </w:p>
    <w:p>
      <w:pPr>
        <w:spacing w:after="100"/>
        <w:ind w:left="403" w:hanging="403"/>
      </w:pPr>
      <w:r>
        <w:rPr>
          <w:rFonts w:ascii="Calibri" w:hAnsi="Calibri"/>
          <w:b w:val="0"/>
          <w:i w:val="0"/>
          <w:color w:val="111827"/>
          <w:sz w:val="18"/>
        </w:rPr>
        <w:t>[18] PostgreSQL Global Development Group, 'PostgreSQL 16 Documentation, Sec. 26.3: Continuous Archiving and Point-in-Time Recovery.' [Online]. Available: https://www.postgresql.org/docs/16/continuous-archiving.html. Accessed: 6 Aug. 2026.</w:t>
      </w:r>
    </w:p>
    <w:p>
      <w:pPr>
        <w:spacing w:after="100"/>
        <w:ind w:left="403" w:hanging="403"/>
      </w:pPr>
      <w:r>
        <w:rPr>
          <w:rFonts w:ascii="Calibri" w:hAnsi="Calibri"/>
          <w:b w:val="0"/>
          <w:i w:val="0"/>
          <w:color w:val="111827"/>
          <w:sz w:val="18"/>
        </w:rPr>
        <w:t>[19] PostGIS Project, 'PostGIS Manual - Introduction.' [Online]. Available: https://postgis.net/docs/postgis_introduction.html. Accessed: 6 Aug. 2026.</w:t>
      </w:r>
    </w:p>
    <w:p>
      <w:pPr>
        <w:spacing w:after="100"/>
        <w:ind w:left="403" w:hanging="403"/>
      </w:pPr>
      <w:r>
        <w:rPr>
          <w:rFonts w:ascii="Calibri" w:hAnsi="Calibri"/>
          <w:b w:val="0"/>
          <w:i w:val="0"/>
          <w:color w:val="111827"/>
          <w:sz w:val="18"/>
        </w:rPr>
        <w:t>[20] Docker, 'Docker Compose Documentation and Compose Specification.' [Online]. Available: https://docs.docker.com/compose/. Accessed: 6 Aug. 2026.</w:t>
      </w:r>
    </w:p>
    <w:p>
      <w:pPr>
        <w:spacing w:after="100"/>
        <w:ind w:left="403" w:hanging="403"/>
      </w:pPr>
      <w:r>
        <w:rPr>
          <w:rFonts w:ascii="Calibri" w:hAnsi="Calibri"/>
          <w:b w:val="0"/>
          <w:i w:val="0"/>
          <w:color w:val="111827"/>
          <w:sz w:val="18"/>
        </w:rPr>
        <w:t>[21] OWASP Foundation, 'Application Security Verification Standard (ASVS), version 5.0.0,' 2025. [Online]. Available: https://owasp.org/www-project-application-security-verification-standard/. Accessed: 6 Aug. 2026.</w:t>
      </w:r>
    </w:p>
    <w:p>
      <w:pPr>
        <w:spacing w:after="100"/>
        <w:ind w:left="403" w:hanging="403"/>
      </w:pPr>
      <w:r>
        <w:rPr>
          <w:rFonts w:ascii="Calibri" w:hAnsi="Calibri"/>
          <w:b w:val="0"/>
          <w:i w:val="0"/>
          <w:color w:val="111827"/>
          <w:sz w:val="18"/>
        </w:rPr>
        <w:t>[22] '6698 Sayılı Kişisel Verilerin Korunması Kanunu,' Resmî Gazete, Sayı 29677, 7 Nisan 2016. [Online]. Available: https://www.mevzuat.gov.tr/mevzuatmetin/1.5.6698.pdf. Accessed: 6 Aug. 2026.</w:t>
      </w:r>
    </w:p>
    <w:p>
      <w:pPr>
        <w:spacing w:after="100"/>
        <w:ind w:left="403" w:hanging="403"/>
      </w:pPr>
      <w:r>
        <w:rPr>
          <w:rFonts w:ascii="Calibri" w:hAnsi="Calibri"/>
          <w:b w:val="0"/>
          <w:i w:val="0"/>
          <w:color w:val="111827"/>
          <w:sz w:val="18"/>
        </w:rPr>
        <w:t>[23] European Union, 'Regulation (EU) 2016/679 of the European Parliament and of the Council (General Data Protection Regulation),' Official Journal of the European Union, L 119, 2016. [Online]. Available: https://eur-lex.europa.eu/eli/reg/2016/679/oj/eng. Accessed: 6 Aug. 2026.</w:t>
      </w:r>
    </w:p>
    <w:p>
      <w:pPr>
        <w:spacing w:after="100"/>
        <w:ind w:left="403" w:hanging="403"/>
      </w:pPr>
      <w:r>
        <w:rPr>
          <w:rFonts w:ascii="Calibri" w:hAnsi="Calibri"/>
          <w:b w:val="0"/>
          <w:i w:val="0"/>
          <w:color w:val="111827"/>
          <w:sz w:val="18"/>
        </w:rPr>
        <w:t>[24] Association for Computing Machinery, 'ACM Code of Ethics and Professional Conduct,' 2018. [Online]. Available: https://www.acm.org/code-of-ethics. Accessed: 6 Aug. 2026.</w:t>
      </w:r>
    </w:p>
    <w:p>
      <w:pPr>
        <w:spacing w:after="100"/>
        <w:ind w:left="403" w:hanging="403"/>
      </w:pPr>
      <w:r>
        <w:rPr>
          <w:rFonts w:ascii="Calibri" w:hAnsi="Calibri"/>
          <w:b w:val="0"/>
          <w:i w:val="0"/>
          <w:color w:val="111827"/>
          <w:sz w:val="18"/>
        </w:rPr>
        <w:t>[25] IEEE, 'IEEE Code of Ethics,' June 2020. [Online]. Available: https://www.ieee.org/content/dam/ieee-org/ieee/web/org/about/corporate/ieee-code-of-ethics.pdf. Accessed: 6 Aug. 2026.</w:t>
      </w:r>
    </w:p>
    <w:p>
      <w:pPr>
        <w:spacing w:after="100"/>
        <w:ind w:left="403" w:hanging="403"/>
      </w:pPr>
      <w:r>
        <w:rPr>
          <w:rFonts w:ascii="Calibri" w:hAnsi="Calibri"/>
          <w:b w:val="0"/>
          <w:i w:val="0"/>
          <w:color w:val="111827"/>
          <w:sz w:val="18"/>
        </w:rPr>
        <w:t>[26] Creative Commons, 'Attribution 4.0 International (CC BY 4.0) - Legal Code.' [Online]. Available: https://creativecommons.org/licenses/by/4.0/legalcode.en. Accessed: 6 Aug. 2026.</w:t>
      </w:r>
    </w:p>
    <w:p>
      <w:pPr>
        <w:spacing w:after="100"/>
        <w:ind w:left="403" w:hanging="403"/>
      </w:pPr>
      <w:r>
        <w:rPr>
          <w:rFonts w:ascii="Calibri" w:hAnsi="Calibri"/>
          <w:b w:val="0"/>
          <w:i w:val="0"/>
          <w:color w:val="111827"/>
          <w:sz w:val="18"/>
        </w:rPr>
        <w:t>[27] Copernicus Programme, 'Legal Notice on the Use of Copernicus Sentinel Data and Service Information.' [Online]. Available: https://sentinels.copernicus.eu/documents/247904/690755/Sentinel_Data_Legal_Notice. Accessed: 6 Aug. 2026.</w:t>
      </w:r>
    </w:p>
    <w:p>
      <w:pPr>
        <w:spacing w:after="100"/>
        <w:ind w:left="403" w:hanging="403"/>
      </w:pPr>
      <w:r>
        <w:rPr>
          <w:rFonts w:ascii="Calibri" w:hAnsi="Calibri"/>
          <w:b w:val="0"/>
          <w:i w:val="0"/>
          <w:color w:val="111827"/>
          <w:sz w:val="18"/>
        </w:rPr>
        <w:t>[28] Google, 'Google Earth Engine Terms of Service,' last modified 29 Sep. 2022, Sec. 2.1(a), 2.1(d). [Online]. Available: https://earthengine.google.com/terms/. Accessed: 6 Aug. 2026.</w:t>
      </w:r>
    </w:p>
    <w:p>
      <w:pPr>
        <w:spacing w:after="100"/>
        <w:ind w:left="403" w:hanging="403"/>
      </w:pPr>
      <w:r>
        <w:rPr>
          <w:rFonts w:ascii="Calibri" w:hAnsi="Calibri"/>
          <w:b w:val="0"/>
          <w:i w:val="0"/>
          <w:color w:val="111827"/>
          <w:sz w:val="18"/>
        </w:rPr>
        <w:t>[29] T. Preston-Werner, 'Semantic Versioning 2.0.0.' [Online]. Available: https://semver.org/spec/v2.0.0.html. Accessed: 6 Aug. 2026.</w:t>
      </w:r>
    </w:p>
    <w:p>
      <w:pPr>
        <w:spacing w:after="100"/>
        <w:ind w:left="403" w:hanging="403"/>
      </w:pPr>
      <w:r>
        <w:rPr>
          <w:rFonts w:ascii="Calibri" w:hAnsi="Calibri"/>
          <w:b w:val="0"/>
          <w:i w:val="0"/>
          <w:color w:val="111827"/>
          <w:sz w:val="18"/>
        </w:rPr>
        <w:t>[30] ISO 19111:2019, Geographic information - Referencing by coordinates, ISO, 2019, Amd. 1:2021.</w:t>
      </w:r>
    </w:p>
    <w:p>
      <w:pPr>
        <w:spacing w:after="100"/>
        <w:ind w:left="403" w:hanging="403"/>
      </w:pPr>
      <w:r>
        <w:rPr>
          <w:rFonts w:ascii="Calibri" w:hAnsi="Calibri"/>
          <w:b w:val="0"/>
          <w:i w:val="0"/>
          <w:color w:val="111827"/>
          <w:sz w:val="18"/>
        </w:rPr>
        <w:t>[31] ISO 19157-1:2023, Geographic information - Data quality - Part 1: General requirements, ISO, 2023.</w:t>
      </w:r>
    </w:p>
    <w:p>
      <w:pPr>
        <w:spacing w:after="100"/>
        <w:ind w:left="403" w:hanging="403"/>
      </w:pPr>
      <w:r>
        <w:rPr>
          <w:rFonts w:ascii="Calibri" w:hAnsi="Calibri"/>
          <w:b w:val="0"/>
          <w:i w:val="0"/>
          <w:color w:val="111827"/>
          <w:sz w:val="18"/>
        </w:rPr>
        <w:t>[32] ISO 19115-1:2014, Geographic information - Metadata - Part 1: Fundamentals, ISO, 2014, Amd. 1:2018 and Amd. 2:2020.</w:t>
      </w:r>
    </w:p>
    <w:p>
      <w:pPr>
        <w:spacing w:after="100"/>
        <w:ind w:left="403" w:hanging="403"/>
      </w:pPr>
      <w:r>
        <w:rPr>
          <w:rFonts w:ascii="Calibri" w:hAnsi="Calibri"/>
          <w:b w:val="0"/>
          <w:i w:val="0"/>
          <w:color w:val="111827"/>
          <w:sz w:val="18"/>
        </w:rPr>
        <w:t>[33] Open Geospatial Consortium, 'OGC GeoTIFF Standard,' ver. 1.1, OGC 19-008r4, 2019. [Online]. Available: https://docs.ogc.org/is/19-008r4/19-008r4.html. Accessed: 6 Aug. 2026.</w:t>
      </w:r>
    </w:p>
    <w:p>
      <w:pPr>
        <w:spacing w:after="100"/>
        <w:ind w:left="403" w:hanging="403"/>
      </w:pPr>
      <w:r>
        <w:rPr>
          <w:rFonts w:ascii="Calibri" w:hAnsi="Calibri"/>
          <w:b w:val="0"/>
          <w:i w:val="0"/>
          <w:color w:val="111827"/>
          <w:sz w:val="18"/>
        </w:rPr>
        <w:t>[34] ISO/IEC/IEEE 29148:2018, Systems and software engineering - Life cycle processes - Requirements engineering, 2nd ed., ISO/IEC/IEEE, 2018.</w:t>
      </w:r>
    </w:p>
    <w:p>
      <w:pPr>
        <w:spacing w:after="100"/>
        <w:ind w:left="403" w:hanging="403"/>
      </w:pPr>
      <w:r>
        <w:rPr>
          <w:rFonts w:ascii="Calibri" w:hAnsi="Calibri"/>
          <w:b w:val="0"/>
          <w:i w:val="0"/>
          <w:color w:val="111827"/>
          <w:sz w:val="18"/>
        </w:rPr>
        <w:t>[35] ISO/IEC/IEEE 29119-3:2021, Software and systems engineering - Software testing - Part 3: Test documentation, 2nd ed., ISO/IEC/IEEE, 2021.</w:t>
      </w:r>
    </w:p>
    <w:sectPr w:rsidR="00FC693F" w:rsidRPr="0006063C" w:rsidSect="00034616">
      <w:headerReference w:type="default" r:id="rId10"/>
      <w:footerReference w:type="default" r:id="rId11"/>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Calibri" w:hAnsi="Calibri"/>
        <w:b w:val="0"/>
        <w:i/>
        <w:color w:val="6B7280"/>
        <w:sz w:val="17"/>
      </w:rPr>
      <w:t>TOBB ETÜ · Bilgisayar / Yapay Zekâ Mühendisliği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0C2854"/>
        <w:sz w:val="18"/>
      </w:rPr>
      <w:t>BİL/YAP 495 — HLD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240" w:after="80"/>
      <w:outlineLvl w:val="0"/>
    </w:pPr>
    <w:rPr>
      <w:rFonts w:asciiTheme="majorHAnsi" w:eastAsiaTheme="majorEastAsia" w:hAnsiTheme="majorHAnsi" w:cstheme="majorBidi" w:ascii="Calibri" w:hAnsi="Calibri"/>
      <w:b/>
      <w:bCs/>
      <w:color w:val="0C2854"/>
      <w:sz w:val="36"/>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ascii="Calibri" w:hAnsi="Calibri"/>
      <w:b/>
      <w:bCs/>
      <w:color w:val="0C2854"/>
      <w:sz w:val="28"/>
      <w:szCs w:val="26"/>
    </w:rPr>
  </w:style>
  <w:style w:type="paragraph" w:styleId="Heading3">
    <w:name w:val="heading 3"/>
    <w:basedOn w:val="Normal"/>
    <w:next w:val="Normal"/>
    <w:link w:val="Heading3Char"/>
    <w:uiPriority w:val="9"/>
    <w:unhideWhenUsed/>
    <w:qFormat/>
    <w:rsid w:val="00FC693F"/>
    <w:pPr>
      <w:keepNext/>
      <w:keepLines/>
      <w:spacing w:before="240" w:after="80"/>
      <w:outlineLvl w:val="2"/>
    </w:pPr>
    <w:rPr>
      <w:rFonts w:asciiTheme="majorHAnsi" w:eastAsiaTheme="majorEastAsia" w:hAnsiTheme="majorHAnsi" w:cstheme="majorBidi" w:ascii="Calibri" w:hAnsi="Calibri"/>
      <w:b/>
      <w:bCs/>
      <w:color w:val="061A3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Calibri" w:hAnsi="Calibri"/>
      <w:sz w:val="21"/>
    </w:rPr>
  </w:style>
  <w:style w:type="paragraph" w:styleId="ListBullet2">
    <w:name w:val="List Bullet 2"/>
    <w:basedOn w:val="Normal"/>
    <w:uiPriority w:val="99"/>
    <w:unhideWhenUsed/>
    <w:rsid w:val="00326F90"/>
    <w:pPr>
      <w:numPr>
        <w:numId w:val="2"/>
      </w:numPr>
      <w:spacing w:after="60"/>
      <w:contextualSpacing/>
    </w:pPr>
    <w:rPr>
      <w:rFonts w:ascii="Calibri" w:hAnsi="Calibri"/>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libri" w:hAnsi="Calibri"/>
      <w:b/>
      <w:bCs/>
      <w:color w:val="2F5D8A"/>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High-Level Design Report - Make No Mistake</dc:title>
  <dc:subject>BİL/YAP 495 - Öz-Gözetimli Uydu Görüntü Segmentasyonu ve Kentsel Yayılma Tahmini</dc:subject>
  <dc:creator>Mehmet Ali USLU; Kaan ARSLAN; Ömer Talha AKBULUT; Mete OKTAR; Efe Arda UZUNOVA</dc:creator>
  <cp:keywords/>
  <dc:description>generated by python-docx</dc:description>
  <cp:lastModifiedBy/>
  <cp:revision>1</cp:revision>
  <dcterms:created xsi:type="dcterms:W3CDTF">2013-12-23T23:15:00Z</dcterms:created>
  <dcterms:modified xsi:type="dcterms:W3CDTF">2013-12-23T23:15:00Z</dcterms:modified>
  <cp:category/>
</cp:coreProperties>
</file>